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FA8" w:rsidRDefault="00711E5A" w:rsidP="00211FA8">
      <w:pPr>
        <w:pStyle w:val="20"/>
        <w:shd w:val="clear" w:color="auto" w:fill="auto"/>
        <w:spacing w:after="0"/>
        <w:ind w:left="120"/>
      </w:pPr>
      <w:r>
        <w:t>КОНТРОЛЬНО-СЧЕТН</w:t>
      </w:r>
      <w:r w:rsidR="005E3539">
        <w:t>О СЧЕТНЫЙ ОРГАН ПИРОВСКОГО</w:t>
      </w:r>
      <w:r>
        <w:t xml:space="preserve"> </w:t>
      </w:r>
      <w:r w:rsidR="008C247E">
        <w:t>МУНИЦИПАЛЬНОГО ОКРУГА</w:t>
      </w:r>
    </w:p>
    <w:p w:rsidR="007523A2" w:rsidRDefault="00211FA8" w:rsidP="00211FA8">
      <w:pPr>
        <w:pStyle w:val="20"/>
        <w:shd w:val="clear" w:color="auto" w:fill="auto"/>
        <w:spacing w:after="0"/>
        <w:ind w:left="120"/>
      </w:pPr>
      <w:r>
        <w:t xml:space="preserve"> КРАСНОЯРСКОГО КРАЯ</w:t>
      </w: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bookmarkStart w:id="0" w:name="_GoBack"/>
      <w:bookmarkEnd w:id="0"/>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211FA8" w:rsidRDefault="00211FA8" w:rsidP="00211FA8">
      <w:pPr>
        <w:pStyle w:val="20"/>
        <w:shd w:val="clear" w:color="auto" w:fill="auto"/>
        <w:spacing w:after="0"/>
        <w:ind w:left="120"/>
      </w:pPr>
    </w:p>
    <w:p w:rsidR="007523A2" w:rsidRDefault="00711E5A">
      <w:pPr>
        <w:pStyle w:val="20"/>
        <w:shd w:val="clear" w:color="auto" w:fill="auto"/>
        <w:spacing w:after="0"/>
      </w:pPr>
      <w:r>
        <w:t>СТ</w:t>
      </w:r>
      <w:r w:rsidRPr="00984B1C">
        <w:rPr>
          <w:rStyle w:val="21"/>
          <w:b/>
          <w:bCs/>
          <w:u w:val="none"/>
        </w:rPr>
        <w:t>АН</w:t>
      </w:r>
      <w:r>
        <w:t>ДАРТ</w:t>
      </w:r>
    </w:p>
    <w:p w:rsidR="005E3539" w:rsidRDefault="00711E5A" w:rsidP="005E3539">
      <w:pPr>
        <w:pStyle w:val="20"/>
        <w:shd w:val="clear" w:color="auto" w:fill="auto"/>
        <w:spacing w:after="0"/>
      </w:pPr>
      <w:r>
        <w:t>ОРГАНИЗАЦИИ ДЕЯТЕЛЬНОСТИ КОНТРОЛЬНО-</w:t>
      </w:r>
      <w:r w:rsidR="005E3539">
        <w:t xml:space="preserve">СЧЕТНОГО ОРГАНА ПИРОВСКОГО </w:t>
      </w:r>
      <w:r w:rsidR="008C247E">
        <w:t>МУНИЦИПАЛЬНОГО ОКРУГА</w:t>
      </w:r>
      <w:r w:rsidR="00211FA8">
        <w:t xml:space="preserve"> </w:t>
      </w:r>
    </w:p>
    <w:p w:rsidR="005E3539" w:rsidRDefault="005E3539" w:rsidP="005E3539">
      <w:pPr>
        <w:pStyle w:val="20"/>
        <w:shd w:val="clear" w:color="auto" w:fill="auto"/>
        <w:spacing w:after="0"/>
      </w:pPr>
    </w:p>
    <w:p w:rsidR="005E3539" w:rsidRDefault="005E3539" w:rsidP="005E3539">
      <w:pPr>
        <w:pStyle w:val="20"/>
        <w:shd w:val="clear" w:color="auto" w:fill="auto"/>
        <w:spacing w:after="0"/>
      </w:pPr>
    </w:p>
    <w:p w:rsidR="00211FA8" w:rsidRDefault="00211FA8" w:rsidP="005E3539">
      <w:pPr>
        <w:pStyle w:val="20"/>
        <w:shd w:val="clear" w:color="auto" w:fill="auto"/>
        <w:spacing w:after="0"/>
      </w:pPr>
    </w:p>
    <w:p w:rsidR="00211FA8" w:rsidRDefault="00211FA8" w:rsidP="005E3539">
      <w:pPr>
        <w:pStyle w:val="20"/>
        <w:shd w:val="clear" w:color="auto" w:fill="auto"/>
        <w:spacing w:after="0"/>
      </w:pPr>
    </w:p>
    <w:p w:rsidR="00211FA8" w:rsidRDefault="00211FA8" w:rsidP="005E3539">
      <w:pPr>
        <w:pStyle w:val="20"/>
        <w:shd w:val="clear" w:color="auto" w:fill="auto"/>
        <w:spacing w:after="0"/>
      </w:pPr>
    </w:p>
    <w:p w:rsidR="007523A2" w:rsidRDefault="00711E5A" w:rsidP="005E3539">
      <w:pPr>
        <w:pStyle w:val="20"/>
        <w:shd w:val="clear" w:color="auto" w:fill="auto"/>
        <w:spacing w:after="0"/>
      </w:pPr>
      <w:r>
        <w:t>(СОД-2) «ПОРЯДОК СОСТАВЛЕ</w:t>
      </w:r>
      <w:r w:rsidRPr="00984B1C">
        <w:rPr>
          <w:rStyle w:val="21"/>
          <w:b/>
          <w:bCs/>
          <w:u w:val="none"/>
        </w:rPr>
        <w:t>НИЯ</w:t>
      </w:r>
      <w:r>
        <w:t xml:space="preserve"> ГОДОВОГО ОТЧЕТА О ДЕЯТЕЛЬНОСТИ </w:t>
      </w:r>
      <w:r w:rsidR="005E3539">
        <w:t xml:space="preserve">КОНТРОЛЬНО-СЧЕТНОГО ОРГАНА ПИРОВСКОГО </w:t>
      </w:r>
      <w:r w:rsidR="008C247E">
        <w:t>МУНИЦИПАЛЬНОГО ОКРУГА</w:t>
      </w:r>
      <w:r>
        <w:t>»</w:t>
      </w:r>
    </w:p>
    <w:p w:rsidR="005E3539" w:rsidRDefault="005E3539" w:rsidP="005E3539">
      <w:pPr>
        <w:pStyle w:val="20"/>
        <w:shd w:val="clear" w:color="auto" w:fill="auto"/>
        <w:spacing w:after="0"/>
      </w:pPr>
    </w:p>
    <w:p w:rsidR="005E3539" w:rsidRDefault="005E3539" w:rsidP="005E3539">
      <w:pPr>
        <w:pStyle w:val="20"/>
        <w:shd w:val="clear" w:color="auto" w:fill="auto"/>
        <w:spacing w:after="0"/>
      </w:pPr>
    </w:p>
    <w:p w:rsidR="005E3539" w:rsidRDefault="005E3539" w:rsidP="005E3539">
      <w:pPr>
        <w:pStyle w:val="20"/>
        <w:shd w:val="clear" w:color="auto" w:fill="auto"/>
        <w:spacing w:after="0"/>
      </w:pPr>
    </w:p>
    <w:p w:rsidR="005E3539" w:rsidRDefault="005E3539" w:rsidP="005E3539">
      <w:pPr>
        <w:pStyle w:val="20"/>
        <w:shd w:val="clear" w:color="auto" w:fill="auto"/>
        <w:spacing w:after="0"/>
      </w:pPr>
    </w:p>
    <w:p w:rsidR="005E3539" w:rsidRDefault="005E3539" w:rsidP="005E3539">
      <w:pPr>
        <w:pStyle w:val="20"/>
        <w:shd w:val="clear" w:color="auto" w:fill="auto"/>
        <w:spacing w:after="0"/>
      </w:pPr>
    </w:p>
    <w:p w:rsidR="007523A2" w:rsidRDefault="00711E5A" w:rsidP="00211FA8">
      <w:pPr>
        <w:pStyle w:val="30"/>
        <w:shd w:val="clear" w:color="auto" w:fill="auto"/>
        <w:spacing w:before="0" w:after="0" w:line="240" w:lineRule="auto"/>
      </w:pPr>
      <w:r>
        <w:t>(Утвержден распоряжением председателя Контрольно-счетно</w:t>
      </w:r>
      <w:r w:rsidR="005E3539">
        <w:t>го</w:t>
      </w:r>
      <w:r>
        <w:t xml:space="preserve"> </w:t>
      </w:r>
      <w:r w:rsidR="005E3539">
        <w:t>органа Пировского</w:t>
      </w:r>
      <w:r>
        <w:t xml:space="preserve"> </w:t>
      </w:r>
      <w:r w:rsidR="008C247E">
        <w:t>муниципального округа</w:t>
      </w:r>
      <w:r>
        <w:t xml:space="preserve"> от </w:t>
      </w:r>
      <w:r w:rsidR="00211FA8">
        <w:t>10</w:t>
      </w:r>
      <w:r w:rsidR="00BE1CD2">
        <w:t xml:space="preserve"> </w:t>
      </w:r>
      <w:r w:rsidR="00211FA8">
        <w:t>ЯНВАРЯ</w:t>
      </w:r>
      <w:r w:rsidR="008C247E">
        <w:t xml:space="preserve"> 202</w:t>
      </w:r>
      <w:r w:rsidR="00211FA8">
        <w:t>2</w:t>
      </w:r>
      <w:r>
        <w:t xml:space="preserve"> года № </w:t>
      </w:r>
      <w:r w:rsidR="005E3539">
        <w:t>2</w:t>
      </w:r>
      <w:r>
        <w:t>-р</w:t>
      </w:r>
      <w:r w:rsidR="00682D6D">
        <w:t>, в ред. от 1</w:t>
      </w:r>
      <w:r w:rsidR="00AD7BD1">
        <w:t>1</w:t>
      </w:r>
      <w:r w:rsidR="00682D6D">
        <w:t>.01.2024г</w:t>
      </w:r>
      <w:r w:rsidR="00AD7BD1">
        <w:t xml:space="preserve"> №01-02/2-р</w:t>
      </w:r>
      <w:r w:rsidR="00984B1C">
        <w:t>)</w:t>
      </w: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211FA8" w:rsidRDefault="00211FA8" w:rsidP="00211FA8">
      <w:pPr>
        <w:pStyle w:val="30"/>
        <w:shd w:val="clear" w:color="auto" w:fill="auto"/>
        <w:spacing w:before="0" w:after="0" w:line="240" w:lineRule="auto"/>
      </w:pPr>
    </w:p>
    <w:p w:rsidR="007523A2" w:rsidRDefault="00711E5A" w:rsidP="00211FA8">
      <w:pPr>
        <w:pStyle w:val="31"/>
        <w:shd w:val="clear" w:color="auto" w:fill="auto"/>
        <w:spacing w:before="0" w:line="240" w:lineRule="auto"/>
      </w:pPr>
      <w:r>
        <w:t>с.</w:t>
      </w:r>
      <w:r w:rsidR="005E3539">
        <w:t xml:space="preserve"> Пировское</w:t>
      </w:r>
      <w:r>
        <w:t xml:space="preserve"> 20</w:t>
      </w:r>
      <w:r w:rsidR="008C247E">
        <w:t>2</w:t>
      </w:r>
      <w:r w:rsidR="00211FA8">
        <w:t>2</w:t>
      </w:r>
      <w:r>
        <w:t xml:space="preserve"> год</w:t>
      </w:r>
    </w:p>
    <w:sdt>
      <w:sdtPr>
        <w:rPr>
          <w:rFonts w:ascii="Courier New" w:eastAsia="Courier New" w:hAnsi="Courier New" w:cs="Courier New"/>
          <w:color w:val="000000"/>
          <w:sz w:val="24"/>
          <w:szCs w:val="24"/>
          <w:lang w:bidi="ru-RU"/>
        </w:rPr>
        <w:id w:val="-1284262925"/>
        <w:docPartObj>
          <w:docPartGallery w:val="Table of Contents"/>
          <w:docPartUnique/>
        </w:docPartObj>
      </w:sdtPr>
      <w:sdtEndPr>
        <w:rPr>
          <w:b/>
          <w:bCs/>
        </w:rPr>
      </w:sdtEndPr>
      <w:sdtContent>
        <w:p w:rsidR="0009710C" w:rsidRPr="00DA0B7F" w:rsidRDefault="0009710C" w:rsidP="00E56919">
          <w:pPr>
            <w:pStyle w:val="af1"/>
            <w:spacing w:before="0" w:line="240" w:lineRule="auto"/>
            <w:jc w:val="center"/>
            <w:rPr>
              <w:rFonts w:ascii="Times New Roman" w:hAnsi="Times New Roman" w:cs="Times New Roman"/>
              <w:b/>
              <w:color w:val="auto"/>
              <w:sz w:val="28"/>
              <w:szCs w:val="28"/>
            </w:rPr>
          </w:pPr>
          <w:r w:rsidRPr="00DA0B7F">
            <w:rPr>
              <w:rFonts w:ascii="Times New Roman" w:hAnsi="Times New Roman" w:cs="Times New Roman"/>
              <w:b/>
              <w:color w:val="auto"/>
              <w:sz w:val="28"/>
              <w:szCs w:val="28"/>
            </w:rPr>
            <w:t>Оглавление</w:t>
          </w:r>
        </w:p>
        <w:p w:rsidR="00E56919" w:rsidRDefault="0009710C" w:rsidP="00E56919">
          <w:pPr>
            <w:pStyle w:val="12"/>
            <w:tabs>
              <w:tab w:val="left" w:pos="440"/>
              <w:tab w:val="right" w:leader="dot" w:pos="10177"/>
            </w:tabs>
            <w:spacing w:before="0"/>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62569413" w:history="1">
            <w:r w:rsidR="00E56919" w:rsidRPr="007A01C2">
              <w:rPr>
                <w:rStyle w:val="a3"/>
                <w:noProof/>
              </w:rPr>
              <w:t>1.</w:t>
            </w:r>
            <w:r w:rsidR="00E56919">
              <w:rPr>
                <w:rFonts w:asciiTheme="minorHAnsi" w:eastAsiaTheme="minorEastAsia" w:hAnsiTheme="minorHAnsi" w:cstheme="minorBidi"/>
                <w:noProof/>
                <w:color w:val="auto"/>
                <w:sz w:val="22"/>
                <w:szCs w:val="22"/>
                <w:lang w:bidi="ar-SA"/>
              </w:rPr>
              <w:tab/>
            </w:r>
            <w:r w:rsidR="00E56919" w:rsidRPr="007A01C2">
              <w:rPr>
                <w:rStyle w:val="a3"/>
                <w:noProof/>
              </w:rPr>
              <w:t>Общие положения</w:t>
            </w:r>
            <w:r w:rsidR="00E56919">
              <w:rPr>
                <w:noProof/>
                <w:webHidden/>
              </w:rPr>
              <w:tab/>
            </w:r>
            <w:r w:rsidR="00E56919">
              <w:rPr>
                <w:noProof/>
                <w:webHidden/>
              </w:rPr>
              <w:fldChar w:fldCharType="begin"/>
            </w:r>
            <w:r w:rsidR="00E56919">
              <w:rPr>
                <w:noProof/>
                <w:webHidden/>
              </w:rPr>
              <w:instrText xml:space="preserve"> PAGEREF _Toc62569413 \h </w:instrText>
            </w:r>
            <w:r w:rsidR="00E56919">
              <w:rPr>
                <w:noProof/>
                <w:webHidden/>
              </w:rPr>
            </w:r>
            <w:r w:rsidR="00E56919">
              <w:rPr>
                <w:noProof/>
                <w:webHidden/>
              </w:rPr>
              <w:fldChar w:fldCharType="separate"/>
            </w:r>
            <w:r w:rsidR="001038E0">
              <w:rPr>
                <w:noProof/>
                <w:webHidden/>
              </w:rPr>
              <w:t>3</w:t>
            </w:r>
            <w:r w:rsidR="00E56919">
              <w:rPr>
                <w:noProof/>
                <w:webHidden/>
              </w:rPr>
              <w:fldChar w:fldCharType="end"/>
            </w:r>
          </w:hyperlink>
        </w:p>
        <w:p w:rsidR="00E56919" w:rsidRDefault="00E53ECF" w:rsidP="00E56919">
          <w:pPr>
            <w:pStyle w:val="12"/>
            <w:tabs>
              <w:tab w:val="left" w:pos="440"/>
              <w:tab w:val="right" w:leader="dot" w:pos="10177"/>
            </w:tabs>
            <w:spacing w:before="0"/>
            <w:rPr>
              <w:rFonts w:asciiTheme="minorHAnsi" w:eastAsiaTheme="minorEastAsia" w:hAnsiTheme="minorHAnsi" w:cstheme="minorBidi"/>
              <w:noProof/>
              <w:color w:val="auto"/>
              <w:sz w:val="22"/>
              <w:szCs w:val="22"/>
              <w:lang w:bidi="ar-SA"/>
            </w:rPr>
          </w:pPr>
          <w:hyperlink w:anchor="_Toc62569414" w:history="1">
            <w:r w:rsidR="00E56919" w:rsidRPr="007A01C2">
              <w:rPr>
                <w:rStyle w:val="a3"/>
                <w:bCs/>
                <w:noProof/>
              </w:rPr>
              <w:t>2.</w:t>
            </w:r>
            <w:r w:rsidR="00E56919">
              <w:rPr>
                <w:rFonts w:asciiTheme="minorHAnsi" w:eastAsiaTheme="minorEastAsia" w:hAnsiTheme="minorHAnsi" w:cstheme="minorBidi"/>
                <w:noProof/>
                <w:color w:val="auto"/>
                <w:sz w:val="22"/>
                <w:szCs w:val="22"/>
                <w:lang w:bidi="ar-SA"/>
              </w:rPr>
              <w:tab/>
            </w:r>
            <w:r w:rsidR="00E56919" w:rsidRPr="007A01C2">
              <w:rPr>
                <w:rStyle w:val="a3"/>
                <w:noProof/>
              </w:rPr>
              <w:t>Структура годового отчета</w:t>
            </w:r>
            <w:r w:rsidR="00E56919">
              <w:rPr>
                <w:noProof/>
                <w:webHidden/>
              </w:rPr>
              <w:tab/>
            </w:r>
            <w:r w:rsidR="00E56919">
              <w:rPr>
                <w:noProof/>
                <w:webHidden/>
              </w:rPr>
              <w:fldChar w:fldCharType="begin"/>
            </w:r>
            <w:r w:rsidR="00E56919">
              <w:rPr>
                <w:noProof/>
                <w:webHidden/>
              </w:rPr>
              <w:instrText xml:space="preserve"> PAGEREF _Toc62569414 \h </w:instrText>
            </w:r>
            <w:r w:rsidR="00E56919">
              <w:rPr>
                <w:noProof/>
                <w:webHidden/>
              </w:rPr>
            </w:r>
            <w:r w:rsidR="00E56919">
              <w:rPr>
                <w:noProof/>
                <w:webHidden/>
              </w:rPr>
              <w:fldChar w:fldCharType="separate"/>
            </w:r>
            <w:r w:rsidR="001038E0">
              <w:rPr>
                <w:noProof/>
                <w:webHidden/>
              </w:rPr>
              <w:t>3</w:t>
            </w:r>
            <w:r w:rsidR="00E56919">
              <w:rPr>
                <w:noProof/>
                <w:webHidden/>
              </w:rPr>
              <w:fldChar w:fldCharType="end"/>
            </w:r>
          </w:hyperlink>
        </w:p>
        <w:p w:rsidR="00E56919" w:rsidRDefault="00E53ECF" w:rsidP="00E56919">
          <w:pPr>
            <w:pStyle w:val="12"/>
            <w:tabs>
              <w:tab w:val="left" w:pos="440"/>
              <w:tab w:val="right" w:leader="dot" w:pos="10177"/>
            </w:tabs>
            <w:spacing w:before="0"/>
            <w:rPr>
              <w:rFonts w:asciiTheme="minorHAnsi" w:eastAsiaTheme="minorEastAsia" w:hAnsiTheme="minorHAnsi" w:cstheme="minorBidi"/>
              <w:noProof/>
              <w:color w:val="auto"/>
              <w:sz w:val="22"/>
              <w:szCs w:val="22"/>
              <w:lang w:bidi="ar-SA"/>
            </w:rPr>
          </w:pPr>
          <w:hyperlink w:anchor="_Toc62569415" w:history="1">
            <w:r w:rsidR="00E56919" w:rsidRPr="007A01C2">
              <w:rPr>
                <w:rStyle w:val="a3"/>
                <w:bCs/>
                <w:noProof/>
              </w:rPr>
              <w:t>3.</w:t>
            </w:r>
            <w:r w:rsidR="00E56919">
              <w:rPr>
                <w:rFonts w:asciiTheme="minorHAnsi" w:eastAsiaTheme="minorEastAsia" w:hAnsiTheme="minorHAnsi" w:cstheme="minorBidi"/>
                <w:noProof/>
                <w:color w:val="auto"/>
                <w:sz w:val="22"/>
                <w:szCs w:val="22"/>
                <w:lang w:bidi="ar-SA"/>
              </w:rPr>
              <w:tab/>
            </w:r>
            <w:r w:rsidR="001038E0" w:rsidRPr="001038E0">
              <w:rPr>
                <w:rStyle w:val="a3"/>
                <w:noProof/>
              </w:rPr>
              <w:tab/>
              <w:t>Порядок подготовки проекта годового отчета, его утверждения и опубликования</w:t>
            </w:r>
            <w:r w:rsidR="001038E0">
              <w:rPr>
                <w:noProof/>
                <w:webHidden/>
              </w:rPr>
              <w:t xml:space="preserve">          </w:t>
            </w:r>
            <w:r w:rsidR="00E56919">
              <w:rPr>
                <w:noProof/>
                <w:webHidden/>
              </w:rPr>
              <w:fldChar w:fldCharType="begin"/>
            </w:r>
            <w:r w:rsidR="00E56919">
              <w:rPr>
                <w:noProof/>
                <w:webHidden/>
              </w:rPr>
              <w:instrText xml:space="preserve"> PAGEREF _Toc62569415 \h </w:instrText>
            </w:r>
            <w:r w:rsidR="00E56919">
              <w:rPr>
                <w:noProof/>
                <w:webHidden/>
              </w:rPr>
            </w:r>
            <w:r w:rsidR="00E56919">
              <w:rPr>
                <w:noProof/>
                <w:webHidden/>
              </w:rPr>
              <w:fldChar w:fldCharType="separate"/>
            </w:r>
            <w:r w:rsidR="001038E0">
              <w:rPr>
                <w:noProof/>
                <w:webHidden/>
              </w:rPr>
              <w:t>4</w:t>
            </w:r>
            <w:r w:rsidR="00E56919">
              <w:rPr>
                <w:noProof/>
                <w:webHidden/>
              </w:rPr>
              <w:fldChar w:fldCharType="end"/>
            </w:r>
          </w:hyperlink>
        </w:p>
        <w:p w:rsidR="00E56919" w:rsidRDefault="00E53ECF" w:rsidP="00E56919">
          <w:pPr>
            <w:pStyle w:val="12"/>
            <w:tabs>
              <w:tab w:val="left" w:pos="440"/>
              <w:tab w:val="right" w:leader="dot" w:pos="10177"/>
            </w:tabs>
            <w:spacing w:before="0"/>
            <w:rPr>
              <w:rFonts w:asciiTheme="minorHAnsi" w:eastAsiaTheme="minorEastAsia" w:hAnsiTheme="minorHAnsi" w:cstheme="minorBidi"/>
              <w:noProof/>
              <w:color w:val="auto"/>
              <w:sz w:val="22"/>
              <w:szCs w:val="22"/>
              <w:lang w:bidi="ar-SA"/>
            </w:rPr>
          </w:pPr>
          <w:hyperlink w:anchor="_Toc62569416" w:history="1">
            <w:r w:rsidR="00E56919" w:rsidRPr="007A01C2">
              <w:rPr>
                <w:rStyle w:val="a3"/>
                <w:bCs/>
                <w:noProof/>
              </w:rPr>
              <w:t>4.</w:t>
            </w:r>
            <w:r w:rsidR="00E56919">
              <w:rPr>
                <w:rFonts w:asciiTheme="minorHAnsi" w:eastAsiaTheme="minorEastAsia" w:hAnsiTheme="minorHAnsi" w:cstheme="minorBidi"/>
                <w:noProof/>
                <w:color w:val="auto"/>
                <w:sz w:val="22"/>
                <w:szCs w:val="22"/>
                <w:lang w:bidi="ar-SA"/>
              </w:rPr>
              <w:tab/>
            </w:r>
            <w:r w:rsidR="00E56919" w:rsidRPr="007A01C2">
              <w:rPr>
                <w:rStyle w:val="a3"/>
                <w:noProof/>
              </w:rPr>
              <w:t>Правила формирования данных годового отчета</w:t>
            </w:r>
            <w:r w:rsidR="00E56919">
              <w:rPr>
                <w:noProof/>
                <w:webHidden/>
              </w:rPr>
              <w:tab/>
            </w:r>
            <w:r w:rsidR="00E56919">
              <w:rPr>
                <w:noProof/>
                <w:webHidden/>
              </w:rPr>
              <w:fldChar w:fldCharType="begin"/>
            </w:r>
            <w:r w:rsidR="00E56919">
              <w:rPr>
                <w:noProof/>
                <w:webHidden/>
              </w:rPr>
              <w:instrText xml:space="preserve"> PAGEREF _Toc62569416 \h </w:instrText>
            </w:r>
            <w:r w:rsidR="00E56919">
              <w:rPr>
                <w:noProof/>
                <w:webHidden/>
              </w:rPr>
            </w:r>
            <w:r w:rsidR="00E56919">
              <w:rPr>
                <w:noProof/>
                <w:webHidden/>
              </w:rPr>
              <w:fldChar w:fldCharType="separate"/>
            </w:r>
            <w:r w:rsidR="001038E0">
              <w:rPr>
                <w:noProof/>
                <w:webHidden/>
              </w:rPr>
              <w:t>4</w:t>
            </w:r>
            <w:r w:rsidR="00E56919">
              <w:rPr>
                <w:noProof/>
                <w:webHidden/>
              </w:rPr>
              <w:fldChar w:fldCharType="end"/>
            </w:r>
          </w:hyperlink>
        </w:p>
        <w:p w:rsidR="00E56919" w:rsidRDefault="00E53ECF" w:rsidP="00E56919">
          <w:pPr>
            <w:pStyle w:val="12"/>
            <w:tabs>
              <w:tab w:val="right" w:leader="dot" w:pos="10177"/>
            </w:tabs>
            <w:spacing w:before="0"/>
            <w:rPr>
              <w:rFonts w:asciiTheme="minorHAnsi" w:eastAsiaTheme="minorEastAsia" w:hAnsiTheme="minorHAnsi" w:cstheme="minorBidi"/>
              <w:noProof/>
              <w:color w:val="auto"/>
              <w:sz w:val="22"/>
              <w:szCs w:val="22"/>
              <w:lang w:bidi="ar-SA"/>
            </w:rPr>
          </w:pPr>
          <w:hyperlink w:anchor="_Toc62569417" w:history="1">
            <w:r w:rsidR="00E56919" w:rsidRPr="007A01C2">
              <w:rPr>
                <w:rStyle w:val="a3"/>
                <w:noProof/>
              </w:rPr>
              <w:t xml:space="preserve">5. </w:t>
            </w:r>
            <w:r w:rsidR="00E56919">
              <w:rPr>
                <w:rStyle w:val="a3"/>
                <w:noProof/>
              </w:rPr>
              <w:t xml:space="preserve"> </w:t>
            </w:r>
            <w:r w:rsidR="00E56919" w:rsidRPr="007A01C2">
              <w:rPr>
                <w:rStyle w:val="a3"/>
                <w:noProof/>
              </w:rPr>
              <w:t>Требования к оформлению годового отчета</w:t>
            </w:r>
            <w:r w:rsidR="00E56919">
              <w:rPr>
                <w:noProof/>
                <w:webHidden/>
              </w:rPr>
              <w:tab/>
            </w:r>
            <w:r w:rsidR="00E56919">
              <w:rPr>
                <w:noProof/>
                <w:webHidden/>
              </w:rPr>
              <w:fldChar w:fldCharType="begin"/>
            </w:r>
            <w:r w:rsidR="00E56919">
              <w:rPr>
                <w:noProof/>
                <w:webHidden/>
              </w:rPr>
              <w:instrText xml:space="preserve"> PAGEREF _Toc62569417 \h </w:instrText>
            </w:r>
            <w:r w:rsidR="00E56919">
              <w:rPr>
                <w:noProof/>
                <w:webHidden/>
              </w:rPr>
            </w:r>
            <w:r w:rsidR="00E56919">
              <w:rPr>
                <w:noProof/>
                <w:webHidden/>
              </w:rPr>
              <w:fldChar w:fldCharType="separate"/>
            </w:r>
            <w:r w:rsidR="001038E0">
              <w:rPr>
                <w:noProof/>
                <w:webHidden/>
              </w:rPr>
              <w:t>5</w:t>
            </w:r>
            <w:r w:rsidR="00E56919">
              <w:rPr>
                <w:noProof/>
                <w:webHidden/>
              </w:rPr>
              <w:fldChar w:fldCharType="end"/>
            </w:r>
          </w:hyperlink>
        </w:p>
        <w:p w:rsidR="0009710C" w:rsidRDefault="0009710C">
          <w:r>
            <w:rPr>
              <w:b/>
              <w:bCs/>
            </w:rPr>
            <w:fldChar w:fldCharType="end"/>
          </w:r>
        </w:p>
      </w:sdtContent>
    </w:sdt>
    <w:p w:rsidR="007523A2" w:rsidRDefault="007523A2"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9A40A0" w:rsidRDefault="009A40A0" w:rsidP="00984B1C">
      <w:pPr>
        <w:pStyle w:val="12"/>
        <w:shd w:val="clear" w:color="auto" w:fill="auto"/>
        <w:tabs>
          <w:tab w:val="right" w:pos="10168"/>
        </w:tabs>
        <w:spacing w:before="0" w:line="322" w:lineRule="exact"/>
        <w:ind w:left="20" w:right="20"/>
        <w:jc w:val="left"/>
      </w:pPr>
    </w:p>
    <w:p w:rsidR="009A40A0" w:rsidRDefault="009A40A0" w:rsidP="00984B1C">
      <w:pPr>
        <w:pStyle w:val="12"/>
        <w:shd w:val="clear" w:color="auto" w:fill="auto"/>
        <w:tabs>
          <w:tab w:val="right" w:pos="10168"/>
        </w:tabs>
        <w:spacing w:before="0" w:line="322" w:lineRule="exact"/>
        <w:ind w:left="20" w:right="20"/>
        <w:jc w:val="left"/>
      </w:pPr>
    </w:p>
    <w:p w:rsidR="00E56919" w:rsidRDefault="00E56919"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left="20" w:right="20"/>
        <w:jc w:val="left"/>
      </w:pPr>
    </w:p>
    <w:p w:rsidR="00984B1C" w:rsidRDefault="00984B1C" w:rsidP="00984B1C">
      <w:pPr>
        <w:pStyle w:val="12"/>
        <w:shd w:val="clear" w:color="auto" w:fill="auto"/>
        <w:tabs>
          <w:tab w:val="right" w:pos="10168"/>
        </w:tabs>
        <w:spacing w:before="0" w:line="322" w:lineRule="exact"/>
        <w:ind w:right="20"/>
        <w:jc w:val="left"/>
        <w:sectPr w:rsidR="00984B1C">
          <w:headerReference w:type="default" r:id="rId8"/>
          <w:type w:val="continuous"/>
          <w:pgSz w:w="11909" w:h="16838"/>
          <w:pgMar w:top="1604" w:right="855" w:bottom="1374" w:left="867" w:header="0" w:footer="3" w:gutter="0"/>
          <w:cols w:space="720"/>
          <w:noEndnote/>
          <w:titlePg/>
          <w:docGrid w:linePitch="360"/>
        </w:sectPr>
      </w:pPr>
    </w:p>
    <w:p w:rsidR="007523A2" w:rsidRPr="000C0E8D" w:rsidRDefault="00711E5A" w:rsidP="008C247E">
      <w:pPr>
        <w:pStyle w:val="1"/>
        <w:numPr>
          <w:ilvl w:val="0"/>
          <w:numId w:val="16"/>
        </w:numPr>
        <w:rPr>
          <w:sz w:val="26"/>
          <w:szCs w:val="26"/>
        </w:rPr>
      </w:pPr>
      <w:bookmarkStart w:id="1" w:name="bookmark0"/>
      <w:bookmarkStart w:id="2" w:name="_Toc62569413"/>
      <w:r w:rsidRPr="000C0E8D">
        <w:rPr>
          <w:sz w:val="26"/>
          <w:szCs w:val="26"/>
        </w:rPr>
        <w:lastRenderedPageBreak/>
        <w:t>Общие положения</w:t>
      </w:r>
      <w:bookmarkEnd w:id="1"/>
      <w:bookmarkEnd w:id="2"/>
    </w:p>
    <w:p w:rsidR="008C247E" w:rsidRPr="008C247E" w:rsidRDefault="008C247E" w:rsidP="008C247E"/>
    <w:p w:rsidR="008C247E" w:rsidRDefault="00FA26AF" w:rsidP="00616157">
      <w:pPr>
        <w:pStyle w:val="31"/>
        <w:shd w:val="clear" w:color="auto" w:fill="auto"/>
        <w:spacing w:before="0" w:line="322" w:lineRule="exact"/>
        <w:ind w:right="20" w:firstLine="709"/>
        <w:jc w:val="both"/>
      </w:pPr>
      <w:r>
        <w:t>1.1.</w:t>
      </w:r>
      <w:r w:rsidR="00711E5A">
        <w:t xml:space="preserve"> Стандарт организации деятельности СОД 2 «Порядок составления годового отчета о деятельности Контрольно-счетно</w:t>
      </w:r>
      <w:r w:rsidR="005E3539">
        <w:t>го органа Пировского</w:t>
      </w:r>
      <w:r w:rsidR="00711E5A">
        <w:t xml:space="preserve"> </w:t>
      </w:r>
      <w:r w:rsidR="008C247E">
        <w:t>муниципального округа</w:t>
      </w:r>
      <w:r w:rsidR="009A40A0">
        <w:t xml:space="preserve"> Красноярского</w:t>
      </w:r>
      <w:r w:rsidR="001E0052">
        <w:t xml:space="preserve"> края</w:t>
      </w:r>
      <w:r w:rsidR="00711E5A">
        <w:t>» (далее - Стандарт) разработан в соответствии с Федеральным законом от</w:t>
      </w:r>
      <w:r w:rsidR="005E3539">
        <w:t xml:space="preserve"> 07.02.2011 г.</w:t>
      </w:r>
      <w:r w:rsidR="00711E5A">
        <w:t xml:space="preserve"> № 6-ФЗ «Об </w:t>
      </w:r>
      <w:r w:rsidR="00711E5A" w:rsidRPr="00984B1C">
        <w:t>об</w:t>
      </w:r>
      <w:r w:rsidR="00711E5A" w:rsidRPr="00984B1C">
        <w:rPr>
          <w:rStyle w:val="15"/>
          <w:u w:val="none"/>
        </w:rPr>
        <w:t>щи</w:t>
      </w:r>
      <w:r w:rsidR="00711E5A" w:rsidRPr="00984B1C">
        <w:t>х при</w:t>
      </w:r>
      <w:r w:rsidR="00711E5A" w:rsidRPr="00984B1C">
        <w:rPr>
          <w:rStyle w:val="15"/>
          <w:u w:val="none"/>
        </w:rPr>
        <w:t>нци</w:t>
      </w:r>
      <w:r w:rsidR="00711E5A" w:rsidRPr="00984B1C">
        <w:t>пах</w:t>
      </w:r>
      <w:r w:rsidR="00711E5A">
        <w:t xml:space="preserve"> организации и деятельности контрольно</w:t>
      </w:r>
      <w:r w:rsidR="005E3539">
        <w:t>-</w:t>
      </w:r>
      <w:r w:rsidR="00711E5A">
        <w:softHyphen/>
        <w:t xml:space="preserve">счетных органов субъектов Российской Федерации и муниципальных образований», Положением о </w:t>
      </w:r>
      <w:r w:rsidR="005E3539">
        <w:t xml:space="preserve">Контрольно-счетном органе Пировского </w:t>
      </w:r>
      <w:r w:rsidR="008C247E">
        <w:t>муниципального округа</w:t>
      </w:r>
      <w:r w:rsidR="009A40A0">
        <w:t xml:space="preserve"> Красноярского края</w:t>
      </w:r>
      <w:r>
        <w:t xml:space="preserve">, </w:t>
      </w:r>
      <w:r w:rsidR="008C247E">
        <w:t xml:space="preserve"> </w:t>
      </w:r>
      <w:r w:rsidRPr="00FA26AF">
        <w:t>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w:t>
      </w:r>
    </w:p>
    <w:p w:rsidR="007523A2" w:rsidRDefault="00FA26AF" w:rsidP="00FA26AF">
      <w:pPr>
        <w:pStyle w:val="31"/>
        <w:shd w:val="clear" w:color="auto" w:fill="auto"/>
        <w:spacing w:before="0" w:line="322" w:lineRule="exact"/>
        <w:ind w:right="20" w:firstLine="708"/>
        <w:jc w:val="both"/>
      </w:pPr>
      <w:r>
        <w:t xml:space="preserve">1.2. </w:t>
      </w:r>
      <w:r w:rsidRPr="00FA26AF">
        <w:t>Целями Стандарта является установление порядка подготовки отчета о деятельности Контрольно-счетно</w:t>
      </w:r>
      <w:r>
        <w:t>го</w:t>
      </w:r>
      <w:r w:rsidRPr="00FA26AF">
        <w:t xml:space="preserve"> </w:t>
      </w:r>
      <w:r>
        <w:t>органа Пировского муниципального округа</w:t>
      </w:r>
      <w:r w:rsidRPr="00FA26AF">
        <w:t xml:space="preserve"> Красноярск</w:t>
      </w:r>
      <w:r>
        <w:t>ого края</w:t>
      </w:r>
      <w:r w:rsidRPr="00FA26AF">
        <w:t xml:space="preserve"> (далее – </w:t>
      </w:r>
      <w:r w:rsidR="00D25E18">
        <w:t>г</w:t>
      </w:r>
      <w:r w:rsidRPr="00FA26AF">
        <w:t>одовой отчет и К</w:t>
      </w:r>
      <w:r>
        <w:t>СО Пировского округа</w:t>
      </w:r>
      <w:r w:rsidRPr="00FA26AF">
        <w:t xml:space="preserve">, соответственно) и регулирование иных вопросов, связанных с его подготовкой. </w:t>
      </w:r>
      <w:r w:rsidR="00711E5A">
        <w:rPr>
          <w:rStyle w:val="a8"/>
        </w:rPr>
        <w:t xml:space="preserve"> </w:t>
      </w:r>
    </w:p>
    <w:p w:rsidR="007523A2" w:rsidRDefault="00FA26AF" w:rsidP="00FA26AF">
      <w:pPr>
        <w:pStyle w:val="31"/>
        <w:shd w:val="clear" w:color="auto" w:fill="auto"/>
        <w:spacing w:before="0" w:line="322" w:lineRule="exact"/>
        <w:ind w:firstLine="708"/>
        <w:jc w:val="both"/>
      </w:pPr>
      <w:r w:rsidRPr="00FA26AF">
        <w:rPr>
          <w:rStyle w:val="a8"/>
          <w:b w:val="0"/>
          <w:bCs w:val="0"/>
        </w:rPr>
        <w:t>1.3.</w:t>
      </w:r>
      <w:r w:rsidR="00711E5A" w:rsidRPr="00FA26AF">
        <w:rPr>
          <w:rStyle w:val="a8"/>
          <w:b w:val="0"/>
          <w:bCs w:val="0"/>
        </w:rPr>
        <w:t xml:space="preserve"> Задачей</w:t>
      </w:r>
      <w:r w:rsidR="00711E5A">
        <w:rPr>
          <w:rStyle w:val="a8"/>
        </w:rPr>
        <w:t xml:space="preserve"> </w:t>
      </w:r>
      <w:r w:rsidR="00711E5A">
        <w:t>настоящего Стандарта является определение об</w:t>
      </w:r>
      <w:r w:rsidR="00711E5A" w:rsidRPr="00FA26AF">
        <w:rPr>
          <w:rStyle w:val="15"/>
          <w:u w:val="none"/>
        </w:rPr>
        <w:t>щи</w:t>
      </w:r>
      <w:r w:rsidR="00711E5A">
        <w:t>х требований:</w:t>
      </w:r>
    </w:p>
    <w:p w:rsidR="007523A2" w:rsidRDefault="00711E5A" w:rsidP="00616157">
      <w:pPr>
        <w:pStyle w:val="31"/>
        <w:numPr>
          <w:ilvl w:val="0"/>
          <w:numId w:val="5"/>
        </w:numPr>
        <w:shd w:val="clear" w:color="auto" w:fill="auto"/>
        <w:spacing w:before="0" w:line="322" w:lineRule="exact"/>
        <w:ind w:left="20" w:firstLine="709"/>
        <w:jc w:val="both"/>
      </w:pPr>
      <w:r>
        <w:t xml:space="preserve"> к структуре </w:t>
      </w:r>
      <w:r w:rsidR="00D25E18">
        <w:t>г</w:t>
      </w:r>
      <w:r>
        <w:t>одового отчета;</w:t>
      </w:r>
    </w:p>
    <w:p w:rsidR="007523A2" w:rsidRDefault="00711E5A" w:rsidP="00616157">
      <w:pPr>
        <w:pStyle w:val="31"/>
        <w:numPr>
          <w:ilvl w:val="0"/>
          <w:numId w:val="5"/>
        </w:numPr>
        <w:shd w:val="clear" w:color="auto" w:fill="auto"/>
        <w:spacing w:before="0" w:line="322" w:lineRule="exact"/>
        <w:ind w:left="20" w:right="20" w:firstLine="709"/>
        <w:jc w:val="both"/>
      </w:pPr>
      <w:r>
        <w:t xml:space="preserve"> к </w:t>
      </w:r>
      <w:r w:rsidR="007B6061">
        <w:t>порядку подготовки проекта годового отчета, его утверждению и опубликованию</w:t>
      </w:r>
    </w:p>
    <w:p w:rsidR="007523A2" w:rsidRDefault="00711E5A" w:rsidP="00616157">
      <w:pPr>
        <w:pStyle w:val="31"/>
        <w:numPr>
          <w:ilvl w:val="0"/>
          <w:numId w:val="5"/>
        </w:numPr>
        <w:shd w:val="clear" w:color="auto" w:fill="auto"/>
        <w:spacing w:before="0" w:line="322" w:lineRule="exact"/>
        <w:ind w:left="20" w:right="20" w:firstLine="709"/>
        <w:jc w:val="both"/>
      </w:pPr>
      <w:r>
        <w:t xml:space="preserve"> к </w:t>
      </w:r>
      <w:r w:rsidR="00FA26AF">
        <w:t xml:space="preserve">формированию данных </w:t>
      </w:r>
      <w:r w:rsidR="00D25E18">
        <w:t>г</w:t>
      </w:r>
      <w:r w:rsidR="00FA26AF">
        <w:t>одового отчета</w:t>
      </w:r>
      <w:r>
        <w:t>;</w:t>
      </w:r>
    </w:p>
    <w:p w:rsidR="007523A2" w:rsidRDefault="00711E5A" w:rsidP="00616157">
      <w:pPr>
        <w:pStyle w:val="31"/>
        <w:numPr>
          <w:ilvl w:val="0"/>
          <w:numId w:val="5"/>
        </w:numPr>
        <w:shd w:val="clear" w:color="auto" w:fill="auto"/>
        <w:spacing w:before="0" w:line="322" w:lineRule="exact"/>
        <w:ind w:left="20" w:firstLine="709"/>
        <w:jc w:val="both"/>
      </w:pPr>
      <w:r>
        <w:t xml:space="preserve"> к оформлению </w:t>
      </w:r>
      <w:r w:rsidR="00D25E18">
        <w:t>г</w:t>
      </w:r>
      <w:r>
        <w:t>одового отчета</w:t>
      </w:r>
      <w:r w:rsidR="00787223">
        <w:t>.</w:t>
      </w:r>
    </w:p>
    <w:p w:rsidR="00787223" w:rsidRDefault="00431204" w:rsidP="00431204">
      <w:pPr>
        <w:pStyle w:val="31"/>
        <w:shd w:val="clear" w:color="auto" w:fill="auto"/>
        <w:spacing w:before="0" w:line="322" w:lineRule="exact"/>
        <w:ind w:firstLine="729"/>
        <w:jc w:val="both"/>
      </w:pPr>
      <w:r w:rsidRPr="00431204">
        <w:t>1.</w:t>
      </w:r>
      <w:r>
        <w:t>4</w:t>
      </w:r>
      <w:r w:rsidRPr="00431204">
        <w:t>. В случае внесения изменений в нормативные правовые акты, указанные в настоящем Стандарте (замены их новыми), положения Стандарта применяются с учетом соответствующих изменений.</w:t>
      </w:r>
    </w:p>
    <w:p w:rsidR="00431204" w:rsidRDefault="00431204" w:rsidP="00787223">
      <w:pPr>
        <w:pStyle w:val="31"/>
        <w:shd w:val="clear" w:color="auto" w:fill="auto"/>
        <w:spacing w:before="0" w:line="322" w:lineRule="exact"/>
        <w:ind w:left="729"/>
        <w:jc w:val="both"/>
      </w:pPr>
    </w:p>
    <w:p w:rsidR="007523A2" w:rsidRPr="000C0E8D" w:rsidRDefault="00711E5A" w:rsidP="000C0E8D">
      <w:pPr>
        <w:pStyle w:val="1"/>
        <w:numPr>
          <w:ilvl w:val="0"/>
          <w:numId w:val="16"/>
        </w:numPr>
        <w:rPr>
          <w:sz w:val="26"/>
          <w:szCs w:val="26"/>
        </w:rPr>
      </w:pPr>
      <w:bookmarkStart w:id="3" w:name="_Toc62569414"/>
      <w:r w:rsidRPr="000C0E8D">
        <w:rPr>
          <w:sz w:val="26"/>
          <w:szCs w:val="26"/>
        </w:rPr>
        <w:t>Структура годового отчета</w:t>
      </w:r>
      <w:bookmarkEnd w:id="3"/>
    </w:p>
    <w:p w:rsidR="000C0E8D" w:rsidRDefault="000C0E8D" w:rsidP="000C0E8D">
      <w:pPr>
        <w:pStyle w:val="31"/>
        <w:spacing w:before="0" w:line="322" w:lineRule="exact"/>
        <w:ind w:right="20" w:firstLine="709"/>
        <w:jc w:val="both"/>
      </w:pPr>
    </w:p>
    <w:p w:rsidR="000C0E8D" w:rsidRDefault="000C0E8D" w:rsidP="000C0E8D">
      <w:pPr>
        <w:pStyle w:val="31"/>
        <w:spacing w:before="0" w:line="322" w:lineRule="exact"/>
        <w:ind w:right="20" w:firstLine="709"/>
        <w:jc w:val="both"/>
      </w:pPr>
      <w:r>
        <w:t xml:space="preserve">2.1.Годовой отчет включает в себя:- общие (вводные) положения о деятельности КСО Пировского округа (могут отражаться, в частности, приоритеты в работе и задачи КСО Пировского округа в отчетном году, вопросы компетенции </w:t>
      </w:r>
      <w:bookmarkStart w:id="4" w:name="_Hlk156214552"/>
      <w:r w:rsidRPr="000C0E8D">
        <w:t>КСО Пировского округа</w:t>
      </w:r>
      <w:bookmarkEnd w:id="4"/>
      <w:r>
        <w:t xml:space="preserve">, доступа к информации о деятельности </w:t>
      </w:r>
      <w:r w:rsidRPr="000C0E8D">
        <w:t>КСО Пировского округа</w:t>
      </w:r>
      <w:r>
        <w:t xml:space="preserve">, взаимодействия </w:t>
      </w:r>
      <w:r w:rsidRPr="000C0E8D">
        <w:t xml:space="preserve">КСО Пировского округа </w:t>
      </w:r>
      <w:r>
        <w:t>с органами государственной власти, местного самоуправления, а также другими контрольно-счетными органами, их объединениями (ассоциациями), иными юридическими лицами, гражданами, объединениями граждан);</w:t>
      </w:r>
    </w:p>
    <w:p w:rsidR="000C0E8D" w:rsidRDefault="000C0E8D" w:rsidP="000C0E8D">
      <w:pPr>
        <w:pStyle w:val="31"/>
        <w:spacing w:before="0" w:line="322" w:lineRule="exact"/>
        <w:ind w:right="20" w:firstLine="709"/>
        <w:jc w:val="both"/>
      </w:pPr>
      <w:r>
        <w:t xml:space="preserve">- основные результаты проведенных контрольных и экспертно-аналитических мероприятий, иные основные итоги деятельности </w:t>
      </w:r>
      <w:r w:rsidRPr="000C0E8D">
        <w:t xml:space="preserve">КСО Пировского округа </w:t>
      </w:r>
      <w:r>
        <w:t>в отчетном году;</w:t>
      </w:r>
    </w:p>
    <w:p w:rsidR="000C0E8D" w:rsidRDefault="000C0E8D" w:rsidP="000C0E8D">
      <w:pPr>
        <w:pStyle w:val="31"/>
        <w:shd w:val="clear" w:color="auto" w:fill="auto"/>
        <w:spacing w:before="0" w:line="322" w:lineRule="exact"/>
        <w:ind w:right="20" w:firstLine="709"/>
        <w:jc w:val="both"/>
      </w:pPr>
      <w:r>
        <w:t xml:space="preserve">- иную информацию, характеризующую деятельность </w:t>
      </w:r>
      <w:r w:rsidRPr="000C0E8D">
        <w:t>КСО Пировского округа</w:t>
      </w:r>
      <w:r>
        <w:t>.</w:t>
      </w:r>
    </w:p>
    <w:p w:rsidR="000C0E8D" w:rsidRDefault="000C0E8D" w:rsidP="000C0E8D">
      <w:pPr>
        <w:pStyle w:val="31"/>
        <w:shd w:val="clear" w:color="auto" w:fill="auto"/>
        <w:spacing w:before="0" w:line="322" w:lineRule="exact"/>
        <w:ind w:right="20" w:firstLine="709"/>
        <w:jc w:val="both"/>
      </w:pPr>
      <w:r>
        <w:t>2.2. Приложения к годовому отчету могут содержать количественные и фактографические данные, в том числе:</w:t>
      </w:r>
    </w:p>
    <w:p w:rsidR="000C0E8D" w:rsidRDefault="000C0E8D" w:rsidP="000C0E8D">
      <w:pPr>
        <w:pStyle w:val="31"/>
        <w:spacing w:before="0" w:line="322" w:lineRule="exact"/>
        <w:ind w:right="20" w:firstLine="709"/>
        <w:jc w:val="both"/>
      </w:pPr>
      <w:r>
        <w:t xml:space="preserve">- основные показатели деятельности </w:t>
      </w:r>
      <w:r w:rsidRPr="000C0E8D">
        <w:t xml:space="preserve">КСО Пировского округа </w:t>
      </w:r>
      <w:r>
        <w:t>в отчетном году;</w:t>
      </w:r>
    </w:p>
    <w:p w:rsidR="000C0E8D" w:rsidRDefault="000C0E8D" w:rsidP="000C0E8D">
      <w:pPr>
        <w:pStyle w:val="31"/>
        <w:spacing w:before="0" w:line="322" w:lineRule="exact"/>
        <w:ind w:right="20" w:firstLine="709"/>
        <w:jc w:val="both"/>
      </w:pPr>
      <w:r>
        <w:t xml:space="preserve">- структуру нарушений, выявленных </w:t>
      </w:r>
      <w:r w:rsidRPr="000C0E8D">
        <w:t xml:space="preserve">КСО Пировского округа </w:t>
      </w:r>
      <w:r>
        <w:t>в отчетном году;</w:t>
      </w:r>
    </w:p>
    <w:p w:rsidR="000C0E8D" w:rsidRDefault="000C0E8D" w:rsidP="000C0E8D">
      <w:pPr>
        <w:pStyle w:val="31"/>
        <w:shd w:val="clear" w:color="auto" w:fill="auto"/>
        <w:spacing w:before="0" w:line="322" w:lineRule="exact"/>
        <w:ind w:right="20" w:firstLine="709"/>
        <w:jc w:val="both"/>
      </w:pPr>
      <w:r>
        <w:t>- информацию об устранении выявленных нарушений.</w:t>
      </w:r>
    </w:p>
    <w:p w:rsidR="000C0E8D" w:rsidRDefault="000C0E8D" w:rsidP="000C0E8D">
      <w:pPr>
        <w:pStyle w:val="31"/>
        <w:shd w:val="clear" w:color="auto" w:fill="auto"/>
        <w:spacing w:before="0" w:line="322" w:lineRule="exact"/>
        <w:ind w:right="20" w:firstLine="709"/>
        <w:jc w:val="both"/>
      </w:pPr>
    </w:p>
    <w:p w:rsidR="007523A2" w:rsidRPr="000C0E8D" w:rsidRDefault="00711E5A" w:rsidP="00616157">
      <w:pPr>
        <w:pStyle w:val="1"/>
        <w:numPr>
          <w:ilvl w:val="0"/>
          <w:numId w:val="12"/>
        </w:numPr>
        <w:rPr>
          <w:sz w:val="26"/>
          <w:szCs w:val="26"/>
        </w:rPr>
      </w:pPr>
      <w:bookmarkStart w:id="5" w:name="bookmark1"/>
      <w:bookmarkStart w:id="6" w:name="_Toc62569415"/>
      <w:r w:rsidRPr="000C0E8D">
        <w:rPr>
          <w:sz w:val="26"/>
          <w:szCs w:val="26"/>
        </w:rPr>
        <w:t xml:space="preserve">Порядок </w:t>
      </w:r>
      <w:r w:rsidR="007B6061">
        <w:rPr>
          <w:sz w:val="26"/>
          <w:szCs w:val="26"/>
        </w:rPr>
        <w:t>подготовки проекта годового отчета, его</w:t>
      </w:r>
      <w:r w:rsidRPr="000C0E8D">
        <w:rPr>
          <w:sz w:val="26"/>
          <w:szCs w:val="26"/>
        </w:rPr>
        <w:t xml:space="preserve"> утверждения </w:t>
      </w:r>
      <w:r w:rsidR="007B6061">
        <w:rPr>
          <w:sz w:val="26"/>
          <w:szCs w:val="26"/>
        </w:rPr>
        <w:t>и</w:t>
      </w:r>
      <w:bookmarkEnd w:id="5"/>
      <w:bookmarkEnd w:id="6"/>
      <w:r w:rsidR="007B6061">
        <w:rPr>
          <w:sz w:val="26"/>
          <w:szCs w:val="26"/>
        </w:rPr>
        <w:t xml:space="preserve"> опубликования</w:t>
      </w:r>
    </w:p>
    <w:p w:rsidR="00616157" w:rsidRPr="00616157" w:rsidRDefault="00616157" w:rsidP="00616157">
      <w:pPr>
        <w:pStyle w:val="af0"/>
        <w:ind w:left="0"/>
      </w:pPr>
    </w:p>
    <w:p w:rsidR="00B64A95" w:rsidRPr="000C0E8D" w:rsidRDefault="00711E5A" w:rsidP="00616157">
      <w:pPr>
        <w:pStyle w:val="31"/>
        <w:numPr>
          <w:ilvl w:val="1"/>
          <w:numId w:val="17"/>
        </w:numPr>
        <w:shd w:val="clear" w:color="auto" w:fill="auto"/>
        <w:spacing w:before="0" w:line="322" w:lineRule="exact"/>
        <w:ind w:left="0" w:right="20" w:firstLine="709"/>
        <w:jc w:val="both"/>
      </w:pPr>
      <w:r w:rsidRPr="000C0E8D">
        <w:t xml:space="preserve">Подготовка проекта годового отчета осуществляется сотрудниками </w:t>
      </w:r>
      <w:r w:rsidR="00AF6E39" w:rsidRPr="000C0E8D">
        <w:t>КСО Пировского округа.</w:t>
      </w:r>
    </w:p>
    <w:p w:rsidR="00B64A95" w:rsidRPr="000C0E8D" w:rsidRDefault="00711E5A" w:rsidP="00616157">
      <w:pPr>
        <w:pStyle w:val="31"/>
        <w:numPr>
          <w:ilvl w:val="1"/>
          <w:numId w:val="17"/>
        </w:numPr>
        <w:shd w:val="clear" w:color="auto" w:fill="auto"/>
        <w:spacing w:before="0" w:line="322" w:lineRule="exact"/>
        <w:ind w:left="0" w:right="20" w:firstLine="709"/>
        <w:jc w:val="both"/>
      </w:pPr>
      <w:r w:rsidRPr="000C0E8D">
        <w:t xml:space="preserve"> Проект годового отчета утверждается нормативным актом председател</w:t>
      </w:r>
      <w:r w:rsidR="00D25E18" w:rsidRPr="000C0E8D">
        <w:t>я</w:t>
      </w:r>
      <w:r w:rsidRPr="000C0E8D">
        <w:t xml:space="preserve"> </w:t>
      </w:r>
      <w:r w:rsidR="00AF6E39" w:rsidRPr="000C0E8D">
        <w:t>КСО Пировского округа</w:t>
      </w:r>
      <w:r w:rsidR="00B64A95" w:rsidRPr="000C0E8D">
        <w:t>.</w:t>
      </w:r>
    </w:p>
    <w:p w:rsidR="007523A2" w:rsidRPr="000C0E8D" w:rsidRDefault="00711E5A" w:rsidP="00616157">
      <w:pPr>
        <w:pStyle w:val="31"/>
        <w:numPr>
          <w:ilvl w:val="1"/>
          <w:numId w:val="17"/>
        </w:numPr>
        <w:shd w:val="clear" w:color="auto" w:fill="auto"/>
        <w:spacing w:before="0" w:line="322" w:lineRule="exact"/>
        <w:ind w:left="0" w:right="20" w:firstLine="709"/>
        <w:jc w:val="both"/>
      </w:pPr>
      <w:r w:rsidRPr="000C0E8D">
        <w:t xml:space="preserve"> Утвержденный председателем </w:t>
      </w:r>
      <w:r w:rsidR="00AF6E39" w:rsidRPr="000C0E8D">
        <w:t xml:space="preserve">КСО Пировского округа </w:t>
      </w:r>
      <w:r w:rsidRPr="000C0E8D">
        <w:t xml:space="preserve">годовой отчет представляется на рассмотрение </w:t>
      </w:r>
      <w:r w:rsidR="00B64A95" w:rsidRPr="000C0E8D">
        <w:t>Пировскому</w:t>
      </w:r>
      <w:r w:rsidRPr="000C0E8D">
        <w:t xml:space="preserve"> </w:t>
      </w:r>
      <w:r w:rsidR="00616157" w:rsidRPr="000C0E8D">
        <w:t>окружному</w:t>
      </w:r>
      <w:r w:rsidRPr="000C0E8D">
        <w:t xml:space="preserve"> Совету депутатов в срок не позднее 1 апреля года, следующего за отчетным.</w:t>
      </w:r>
    </w:p>
    <w:p w:rsidR="007523A2" w:rsidRDefault="00B64A95" w:rsidP="00616157">
      <w:pPr>
        <w:pStyle w:val="31"/>
        <w:numPr>
          <w:ilvl w:val="1"/>
          <w:numId w:val="17"/>
        </w:numPr>
        <w:shd w:val="clear" w:color="auto" w:fill="auto"/>
        <w:spacing w:before="0" w:after="349" w:line="322" w:lineRule="exact"/>
        <w:ind w:left="0" w:right="20" w:firstLine="709"/>
        <w:jc w:val="both"/>
      </w:pPr>
      <w:r w:rsidRPr="000C0E8D">
        <w:t>Г</w:t>
      </w:r>
      <w:r w:rsidR="00711E5A" w:rsidRPr="000C0E8D">
        <w:t xml:space="preserve">одовой отчет </w:t>
      </w:r>
      <w:r w:rsidR="00AF6E39" w:rsidRPr="000C0E8D">
        <w:t xml:space="preserve">КСО Пировского округа </w:t>
      </w:r>
      <w:r w:rsidR="00711E5A" w:rsidRPr="000C0E8D">
        <w:t xml:space="preserve">после рассмотрения </w:t>
      </w:r>
      <w:r w:rsidRPr="000C0E8D">
        <w:t xml:space="preserve">Пировским </w:t>
      </w:r>
      <w:r w:rsidR="00616157" w:rsidRPr="000C0E8D">
        <w:t>окружным</w:t>
      </w:r>
      <w:r w:rsidR="00711E5A">
        <w:t xml:space="preserve"> Советом депутатов публикуется в местных средствах массовой информации и</w:t>
      </w:r>
      <w:r w:rsidR="00D25E18">
        <w:t xml:space="preserve"> (или)</w:t>
      </w:r>
      <w:r w:rsidR="00711E5A">
        <w:t xml:space="preserve"> размещается в информационной системе </w:t>
      </w:r>
      <w:r>
        <w:t>Пировского</w:t>
      </w:r>
      <w:r w:rsidR="00711E5A">
        <w:t xml:space="preserve"> </w:t>
      </w:r>
      <w:r w:rsidR="00616157">
        <w:t>муниципального округа</w:t>
      </w:r>
      <w:r w:rsidR="00711E5A">
        <w:t>.</w:t>
      </w:r>
    </w:p>
    <w:p w:rsidR="007523A2" w:rsidRPr="007B6061" w:rsidRDefault="00711E5A" w:rsidP="00616157">
      <w:pPr>
        <w:pStyle w:val="1"/>
        <w:numPr>
          <w:ilvl w:val="0"/>
          <w:numId w:val="17"/>
        </w:numPr>
        <w:rPr>
          <w:sz w:val="26"/>
          <w:szCs w:val="26"/>
        </w:rPr>
      </w:pPr>
      <w:bookmarkStart w:id="7" w:name="bookmark2"/>
      <w:bookmarkStart w:id="8" w:name="_Toc62569416"/>
      <w:r w:rsidRPr="007B6061">
        <w:rPr>
          <w:sz w:val="26"/>
          <w:szCs w:val="26"/>
        </w:rPr>
        <w:t>Правила формирования данных годового отчета</w:t>
      </w:r>
      <w:bookmarkEnd w:id="7"/>
      <w:bookmarkEnd w:id="8"/>
    </w:p>
    <w:p w:rsidR="00616157" w:rsidRPr="00616157" w:rsidRDefault="00616157" w:rsidP="00616157">
      <w:pPr>
        <w:pStyle w:val="af0"/>
        <w:ind w:left="0"/>
      </w:pPr>
    </w:p>
    <w:p w:rsidR="007523A2" w:rsidRPr="000C0E8D" w:rsidRDefault="00984B1C" w:rsidP="00616157">
      <w:pPr>
        <w:pStyle w:val="31"/>
        <w:shd w:val="clear" w:color="auto" w:fill="auto"/>
        <w:tabs>
          <w:tab w:val="left" w:pos="1269"/>
        </w:tabs>
        <w:spacing w:before="0" w:line="322" w:lineRule="exact"/>
        <w:ind w:right="20" w:firstLine="709"/>
        <w:jc w:val="both"/>
        <w:rPr>
          <w:bCs/>
        </w:rPr>
      </w:pPr>
      <w:r w:rsidRPr="000C0E8D">
        <w:rPr>
          <w:bCs/>
        </w:rPr>
        <w:t>4.1</w:t>
      </w:r>
      <w:r w:rsidR="00616157" w:rsidRPr="000C0E8D">
        <w:rPr>
          <w:bCs/>
        </w:rPr>
        <w:t xml:space="preserve"> </w:t>
      </w:r>
      <w:r w:rsidR="00711E5A" w:rsidRPr="000C0E8D">
        <w:rPr>
          <w:bCs/>
        </w:rPr>
        <w:t xml:space="preserve">Учет количества проведённых контрольных и экспертно-аналитических мероприятий осуществляется по исполненным пунктам Плана работы </w:t>
      </w:r>
      <w:r w:rsidR="00AF6E39" w:rsidRPr="000C0E8D">
        <w:rPr>
          <w:bCs/>
        </w:rPr>
        <w:t>КСО Пировского округа.</w:t>
      </w:r>
      <w:r w:rsidR="00711E5A" w:rsidRPr="000C0E8D">
        <w:rPr>
          <w:bCs/>
        </w:rPr>
        <w:t xml:space="preserve"> Контрольные и экспертно-аналитические мероприятия</w:t>
      </w:r>
      <w:r w:rsidR="00B64A95" w:rsidRPr="000C0E8D">
        <w:rPr>
          <w:bCs/>
        </w:rPr>
        <w:t xml:space="preserve">      </w:t>
      </w:r>
      <w:r w:rsidR="00711E5A" w:rsidRPr="000C0E8D">
        <w:rPr>
          <w:bCs/>
        </w:rPr>
        <w:t>учитываются раздельно.</w:t>
      </w:r>
    </w:p>
    <w:p w:rsidR="007523A2" w:rsidRPr="000C0E8D" w:rsidRDefault="00984B1C" w:rsidP="00616157">
      <w:pPr>
        <w:pStyle w:val="31"/>
        <w:shd w:val="clear" w:color="auto" w:fill="auto"/>
        <w:spacing w:before="0" w:line="322" w:lineRule="exact"/>
        <w:ind w:right="20" w:firstLine="709"/>
        <w:jc w:val="both"/>
        <w:rPr>
          <w:bCs/>
        </w:rPr>
      </w:pPr>
      <w:r w:rsidRPr="000C0E8D">
        <w:rPr>
          <w:bCs/>
        </w:rPr>
        <w:t>4.2</w:t>
      </w:r>
      <w:r w:rsidR="00785BDA" w:rsidRPr="000C0E8D">
        <w:rPr>
          <w:bCs/>
        </w:rPr>
        <w:t xml:space="preserve"> </w:t>
      </w:r>
      <w:r w:rsidR="00711E5A" w:rsidRPr="000C0E8D">
        <w:rPr>
          <w:bCs/>
        </w:rPr>
        <w:t xml:space="preserve">В </w:t>
      </w:r>
      <w:r w:rsidR="00D25E18" w:rsidRPr="000C0E8D">
        <w:rPr>
          <w:bCs/>
        </w:rPr>
        <w:t>г</w:t>
      </w:r>
      <w:r w:rsidR="00711E5A" w:rsidRPr="000C0E8D">
        <w:rPr>
          <w:bCs/>
        </w:rPr>
        <w:t>одовом отчете приводятся данные только по завершенным контрольным и экспертно-аналитическим мероприятиям.</w:t>
      </w:r>
    </w:p>
    <w:p w:rsidR="007523A2" w:rsidRPr="000C0E8D" w:rsidRDefault="00984B1C" w:rsidP="00616157">
      <w:pPr>
        <w:pStyle w:val="31"/>
        <w:shd w:val="clear" w:color="auto" w:fill="auto"/>
        <w:spacing w:before="0" w:line="322" w:lineRule="exact"/>
        <w:ind w:right="20" w:firstLine="709"/>
        <w:jc w:val="both"/>
        <w:rPr>
          <w:bCs/>
        </w:rPr>
      </w:pPr>
      <w:r w:rsidRPr="000C0E8D">
        <w:rPr>
          <w:bCs/>
        </w:rPr>
        <w:t>4.3</w:t>
      </w:r>
      <w:r w:rsidR="00785BDA" w:rsidRPr="000C0E8D">
        <w:rPr>
          <w:bCs/>
        </w:rPr>
        <w:t xml:space="preserve"> </w:t>
      </w:r>
      <w:r w:rsidR="00711E5A" w:rsidRPr="000C0E8D">
        <w:rPr>
          <w:bCs/>
        </w:rPr>
        <w:t>При определении количества проверенных объектов в качестве объекта проверки учитывается орган и организация, в которых в отчётном периоде были проведены контрольные мероприятия и по их результатам составлен акт. При проведении нескольких контрольных мероприятий на одном объекте в течение отчетного периода объект учитывается один раз.</w:t>
      </w:r>
    </w:p>
    <w:p w:rsidR="007523A2" w:rsidRPr="000C0E8D" w:rsidRDefault="00785BDA" w:rsidP="00616157">
      <w:pPr>
        <w:pStyle w:val="31"/>
        <w:shd w:val="clear" w:color="auto" w:fill="auto"/>
        <w:spacing w:before="0" w:line="322" w:lineRule="exact"/>
        <w:ind w:right="20" w:firstLine="709"/>
        <w:jc w:val="both"/>
        <w:rPr>
          <w:bCs/>
        </w:rPr>
      </w:pPr>
      <w:r w:rsidRPr="000C0E8D">
        <w:rPr>
          <w:bCs/>
        </w:rPr>
        <w:t xml:space="preserve">4.4 </w:t>
      </w:r>
      <w:r w:rsidR="00711E5A" w:rsidRPr="000C0E8D">
        <w:rPr>
          <w:bCs/>
        </w:rPr>
        <w:t>При определении общего объема проверенных средств учитываются бюджетные и внебюджетные средства, находящиеся в распоряжении объектов контроля (предприятий, учреждений, иных организаций). Во избежание двойного счета учитывается объем бюджетных средств, доведенных непосредственно бюджетополучателям (смета, субсидия), т.е. при этом не учитывается объем бюджетных средств, выделенных главным распорядителям.</w:t>
      </w:r>
    </w:p>
    <w:p w:rsidR="007523A2" w:rsidRPr="000C0E8D" w:rsidRDefault="00785BDA" w:rsidP="00616157">
      <w:pPr>
        <w:pStyle w:val="31"/>
        <w:shd w:val="clear" w:color="auto" w:fill="auto"/>
        <w:spacing w:before="0" w:line="322" w:lineRule="exact"/>
        <w:ind w:right="20" w:firstLine="709"/>
        <w:jc w:val="both"/>
        <w:rPr>
          <w:bCs/>
        </w:rPr>
      </w:pPr>
      <w:r w:rsidRPr="000C0E8D">
        <w:rPr>
          <w:bCs/>
        </w:rPr>
        <w:t xml:space="preserve">4.5 </w:t>
      </w:r>
      <w:r w:rsidR="00711E5A" w:rsidRPr="000C0E8D">
        <w:rPr>
          <w:bCs/>
        </w:rPr>
        <w:t xml:space="preserve">Информация по выявленному ущербу, нецелевому использованию бюджетных средств и иным финансовым нарушениям включается в </w:t>
      </w:r>
      <w:r w:rsidR="00D25E18" w:rsidRPr="000C0E8D">
        <w:rPr>
          <w:bCs/>
        </w:rPr>
        <w:t>г</w:t>
      </w:r>
      <w:r w:rsidR="00787223" w:rsidRPr="000C0E8D">
        <w:rPr>
          <w:bCs/>
        </w:rPr>
        <w:t xml:space="preserve">одовой </w:t>
      </w:r>
      <w:r w:rsidR="00711E5A" w:rsidRPr="000C0E8D">
        <w:rPr>
          <w:bCs/>
        </w:rPr>
        <w:t xml:space="preserve">отчет о работе </w:t>
      </w:r>
      <w:r w:rsidR="00AF6E39" w:rsidRPr="000C0E8D">
        <w:rPr>
          <w:bCs/>
        </w:rPr>
        <w:t>КСО Пировского округа</w:t>
      </w:r>
      <w:r w:rsidR="00711E5A" w:rsidRPr="000C0E8D">
        <w:rPr>
          <w:bCs/>
        </w:rPr>
        <w:t>.</w:t>
      </w:r>
    </w:p>
    <w:p w:rsidR="007523A2" w:rsidRDefault="00785BDA" w:rsidP="00616157">
      <w:pPr>
        <w:pStyle w:val="31"/>
        <w:shd w:val="clear" w:color="auto" w:fill="auto"/>
        <w:spacing w:before="0" w:line="322" w:lineRule="exact"/>
        <w:ind w:right="20" w:firstLine="709"/>
        <w:jc w:val="both"/>
      </w:pPr>
      <w:r w:rsidRPr="000C0E8D">
        <w:rPr>
          <w:bCs/>
        </w:rPr>
        <w:t>4.6</w:t>
      </w:r>
      <w:r>
        <w:t xml:space="preserve"> </w:t>
      </w:r>
      <w:r w:rsidR="00711E5A">
        <w:t>При отражении в годовом отчете информации о количестве экспертно</w:t>
      </w:r>
      <w:r w:rsidR="00711E5A">
        <w:softHyphen/>
      </w:r>
      <w:r w:rsidR="00CD245E">
        <w:t>-</w:t>
      </w:r>
      <w:r w:rsidR="00711E5A">
        <w:t>аналитических мероприятий, по которым в отчетном году составлены заключения, учитывается: подготовка заключений на проекты правовых актов, сводно</w:t>
      </w:r>
      <w:r w:rsidR="00CD245E">
        <w:t>-</w:t>
      </w:r>
      <w:r w:rsidR="00711E5A">
        <w:softHyphen/>
        <w:t>аналитические материалы по темам, временным периодам (заключения, аналитические записки, информационные письма, финансово-экономическая экспертиза проектов муниципальных правовых актов (включая обоснованность финансово-экономических обоснований), экспертиза муниципальных программ, результаты обследования, анализ, мониторинг исполнения бюджета и др.).</w:t>
      </w:r>
    </w:p>
    <w:p w:rsidR="007523A2" w:rsidRPr="000C0E8D" w:rsidRDefault="00785BDA" w:rsidP="00616157">
      <w:pPr>
        <w:pStyle w:val="31"/>
        <w:shd w:val="clear" w:color="auto" w:fill="auto"/>
        <w:spacing w:before="0" w:line="322" w:lineRule="exact"/>
        <w:ind w:right="20" w:firstLine="709"/>
        <w:jc w:val="both"/>
        <w:rPr>
          <w:bCs/>
        </w:rPr>
      </w:pPr>
      <w:r w:rsidRPr="000C0E8D">
        <w:rPr>
          <w:bCs/>
        </w:rPr>
        <w:lastRenderedPageBreak/>
        <w:t xml:space="preserve">4.7 </w:t>
      </w:r>
      <w:r w:rsidR="00711E5A" w:rsidRPr="000C0E8D">
        <w:rPr>
          <w:bCs/>
        </w:rPr>
        <w:t xml:space="preserve">При формировании </w:t>
      </w:r>
      <w:r w:rsidR="00D25E18" w:rsidRPr="000C0E8D">
        <w:rPr>
          <w:bCs/>
        </w:rPr>
        <w:t>г</w:t>
      </w:r>
      <w:r w:rsidR="00787223" w:rsidRPr="000C0E8D">
        <w:rPr>
          <w:bCs/>
        </w:rPr>
        <w:t xml:space="preserve">одового </w:t>
      </w:r>
      <w:r w:rsidR="00711E5A" w:rsidRPr="000C0E8D">
        <w:rPr>
          <w:bCs/>
        </w:rPr>
        <w:t>отчёта при необходимости направляются запросы в проверенные в течение отчётного года органы и организации для уточнения информации о принятых мерах по устранению нарушений, выявленных в ходе контрольного мероприятия.</w:t>
      </w:r>
    </w:p>
    <w:p w:rsidR="007523A2" w:rsidRDefault="00785BDA" w:rsidP="00616157">
      <w:pPr>
        <w:pStyle w:val="31"/>
        <w:shd w:val="clear" w:color="auto" w:fill="auto"/>
        <w:spacing w:before="0" w:after="349" w:line="322" w:lineRule="exact"/>
        <w:ind w:right="20" w:firstLine="709"/>
        <w:jc w:val="both"/>
      </w:pPr>
      <w:r w:rsidRPr="000C0E8D">
        <w:rPr>
          <w:bCs/>
        </w:rPr>
        <w:t xml:space="preserve">4.8 </w:t>
      </w:r>
      <w:r w:rsidR="00711E5A" w:rsidRPr="000C0E8D">
        <w:rPr>
          <w:bCs/>
        </w:rPr>
        <w:t>Все данные приводятся строго за отчетный период (за период с 1 января по 31 декабря</w:t>
      </w:r>
      <w:r w:rsidR="00711E5A">
        <w:t xml:space="preserve"> отчетного года).</w:t>
      </w:r>
    </w:p>
    <w:p w:rsidR="007523A2" w:rsidRPr="007B6061" w:rsidRDefault="00E732B1" w:rsidP="00616157">
      <w:pPr>
        <w:pStyle w:val="1"/>
        <w:rPr>
          <w:sz w:val="26"/>
          <w:szCs w:val="26"/>
        </w:rPr>
      </w:pPr>
      <w:bookmarkStart w:id="9" w:name="bookmark3"/>
      <w:bookmarkStart w:id="10" w:name="_Toc62569417"/>
      <w:r w:rsidRPr="007B6061">
        <w:rPr>
          <w:sz w:val="26"/>
          <w:szCs w:val="26"/>
        </w:rPr>
        <w:t xml:space="preserve">5. </w:t>
      </w:r>
      <w:r w:rsidR="00711E5A" w:rsidRPr="007B6061">
        <w:rPr>
          <w:sz w:val="26"/>
          <w:szCs w:val="26"/>
        </w:rPr>
        <w:t>Требования к оформлению годового отчета</w:t>
      </w:r>
      <w:bookmarkEnd w:id="9"/>
      <w:bookmarkEnd w:id="10"/>
    </w:p>
    <w:p w:rsidR="00E732B1" w:rsidRPr="000C0E8D" w:rsidRDefault="00E732B1" w:rsidP="00E732B1"/>
    <w:p w:rsidR="007523A2" w:rsidRPr="000C0E8D" w:rsidRDefault="00787223" w:rsidP="00E732B1">
      <w:pPr>
        <w:pStyle w:val="31"/>
        <w:numPr>
          <w:ilvl w:val="0"/>
          <w:numId w:val="14"/>
        </w:numPr>
        <w:shd w:val="clear" w:color="auto" w:fill="auto"/>
        <w:spacing w:before="0" w:line="322" w:lineRule="exact"/>
        <w:ind w:left="0" w:right="20" w:firstLine="709"/>
        <w:jc w:val="both"/>
      </w:pPr>
      <w:r w:rsidRPr="000C0E8D">
        <w:t xml:space="preserve">Оформление </w:t>
      </w:r>
      <w:r w:rsidR="00D25E18" w:rsidRPr="000C0E8D">
        <w:t>г</w:t>
      </w:r>
      <w:r w:rsidRPr="000C0E8D">
        <w:t>одового отчета осуществляется в соответствии с требованиями инструкции по делопроизводству в КСО Пировского округа</w:t>
      </w:r>
      <w:r w:rsidR="00711E5A" w:rsidRPr="000C0E8D">
        <w:rPr>
          <w:rStyle w:val="23"/>
        </w:rPr>
        <w:t>.</w:t>
      </w:r>
    </w:p>
    <w:p w:rsidR="007523A2" w:rsidRDefault="00711E5A" w:rsidP="00E732B1">
      <w:pPr>
        <w:pStyle w:val="31"/>
        <w:numPr>
          <w:ilvl w:val="0"/>
          <w:numId w:val="14"/>
        </w:numPr>
        <w:shd w:val="clear" w:color="auto" w:fill="auto"/>
        <w:spacing w:before="0" w:line="322" w:lineRule="exact"/>
        <w:ind w:left="0" w:right="20" w:firstLine="709"/>
        <w:jc w:val="both"/>
      </w:pPr>
      <w:r w:rsidRPr="000C0E8D">
        <w:t>Суммы</w:t>
      </w:r>
      <w:r>
        <w:t xml:space="preserve"> выявленного и возмещенного ущерба, нецелевого использования бюджетных средств и иных финансовых нарушений указываются в тысячах рублей с точностью до первого десятичного знака.</w:t>
      </w:r>
    </w:p>
    <w:p w:rsidR="000C0E8D" w:rsidRDefault="000C0E8D" w:rsidP="000C0E8D">
      <w:pPr>
        <w:pStyle w:val="31"/>
        <w:shd w:val="clear" w:color="auto" w:fill="auto"/>
        <w:spacing w:before="0" w:line="322" w:lineRule="exact"/>
        <w:ind w:right="20"/>
        <w:jc w:val="both"/>
      </w:pPr>
    </w:p>
    <w:p w:rsidR="000C0E8D" w:rsidRDefault="000C0E8D" w:rsidP="000C0E8D">
      <w:pPr>
        <w:pStyle w:val="31"/>
        <w:shd w:val="clear" w:color="auto" w:fill="auto"/>
        <w:spacing w:before="0" w:line="322" w:lineRule="exact"/>
        <w:ind w:right="20"/>
        <w:jc w:val="both"/>
        <w:sectPr w:rsidR="000C0E8D" w:rsidSect="00616157">
          <w:headerReference w:type="default" r:id="rId9"/>
          <w:type w:val="continuous"/>
          <w:pgSz w:w="11909" w:h="16838"/>
          <w:pgMar w:top="1114" w:right="617" w:bottom="749" w:left="1701" w:header="0" w:footer="3" w:gutter="0"/>
          <w:cols w:space="720"/>
          <w:noEndnote/>
          <w:docGrid w:linePitch="360"/>
        </w:sectPr>
      </w:pPr>
    </w:p>
    <w:p w:rsidR="007523A2" w:rsidRDefault="007523A2" w:rsidP="000C0E8D">
      <w:pPr>
        <w:pStyle w:val="40"/>
        <w:shd w:val="clear" w:color="auto" w:fill="auto"/>
        <w:spacing w:after="0"/>
        <w:ind w:left="6946" w:right="19"/>
      </w:pPr>
    </w:p>
    <w:sectPr w:rsidR="007523A2" w:rsidSect="000C0E8D">
      <w:headerReference w:type="default" r:id="rId10"/>
      <w:pgSz w:w="11909" w:h="16838"/>
      <w:pgMar w:top="1114" w:right="617" w:bottom="749" w:left="6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3ECF" w:rsidRDefault="00E53ECF">
      <w:r>
        <w:separator/>
      </w:r>
    </w:p>
  </w:endnote>
  <w:endnote w:type="continuationSeparator" w:id="0">
    <w:p w:rsidR="00E53ECF" w:rsidRDefault="00E5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3ECF" w:rsidRDefault="00E53ECF"/>
  </w:footnote>
  <w:footnote w:type="continuationSeparator" w:id="0">
    <w:p w:rsidR="00E53ECF" w:rsidRDefault="00E53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3A2" w:rsidRDefault="008D593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3757295</wp:posOffset>
              </wp:positionH>
              <wp:positionV relativeFrom="page">
                <wp:posOffset>861060</wp:posOffset>
              </wp:positionV>
              <wp:extent cx="70485" cy="160655"/>
              <wp:effectExtent l="4445" t="381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85pt;margin-top:67.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" filled="f" stroked="f">
              <v:textbox style="mso-fit-shape-to-text:t" inset="0,0,0,0">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2</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3A2" w:rsidRDefault="008D593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3756660</wp:posOffset>
              </wp:positionH>
              <wp:positionV relativeFrom="page">
                <wp:posOffset>482600</wp:posOffset>
              </wp:positionV>
              <wp:extent cx="70485" cy="160655"/>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5.8pt;margin-top:38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" filled="f" stroked="f">
              <v:textbox style="mso-fit-shape-to-text:t" inset="0,0,0,0">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6</w:t>
                    </w:r>
                    <w:r>
                      <w:rPr>
                        <w:rStyle w:val="a7"/>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23A2" w:rsidRDefault="008D593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3802380</wp:posOffset>
              </wp:positionH>
              <wp:positionV relativeFrom="page">
                <wp:posOffset>482600</wp:posOffset>
              </wp:positionV>
              <wp:extent cx="70485" cy="160655"/>
              <wp:effectExtent l="1905"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9.4pt;margin-top:38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" filled="f" stroked="f">
              <v:textbox style="mso-fit-shape-to-text:t" inset="0,0,0,0">
                <w:txbxContent>
                  <w:p w:rsidR="007523A2" w:rsidRDefault="00711E5A">
                    <w:pPr>
                      <w:pStyle w:val="a6"/>
                      <w:shd w:val="clear" w:color="auto" w:fill="auto"/>
                      <w:spacing w:line="240" w:lineRule="auto"/>
                    </w:pPr>
                    <w:r>
                      <w:fldChar w:fldCharType="begin"/>
                    </w:r>
                    <w:r>
                      <w:instrText xml:space="preserve"> PAGE \* MERGEFORMAT </w:instrText>
                    </w:r>
                    <w:r>
                      <w:fldChar w:fldCharType="separate"/>
                    </w:r>
                    <w:r w:rsidR="001E0052" w:rsidRPr="001E0052">
                      <w:rPr>
                        <w:rStyle w:val="a7"/>
                        <w:noProof/>
                      </w:rPr>
                      <w:t>8</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0A8"/>
    <w:multiLevelType w:val="multilevel"/>
    <w:tmpl w:val="E912F42C"/>
    <w:lvl w:ilvl="0">
      <w:start w:val="3"/>
      <w:numFmt w:val="decimal"/>
      <w:lvlText w:val="%1."/>
      <w:lvlJc w:val="left"/>
      <w:pPr>
        <w:ind w:left="-279"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3.%2"/>
      <w:lvlJc w:val="left"/>
      <w:pPr>
        <w:ind w:left="147" w:firstLine="0"/>
      </w:pPr>
      <w:rPr>
        <w:rFonts w:hint="default"/>
        <w:b w:val="0"/>
        <w:bCs w:val="0"/>
        <w:i w:val="0"/>
        <w:iCs w:val="0"/>
        <w:smallCaps w:val="0"/>
        <w:strike w:val="0"/>
        <w:color w:val="000000"/>
        <w:spacing w:val="0"/>
        <w:w w:val="100"/>
        <w:position w:val="0"/>
        <w:sz w:val="26"/>
        <w:szCs w:val="26"/>
        <w:u w:val="none"/>
      </w:rPr>
    </w:lvl>
    <w:lvl w:ilvl="2">
      <w:numFmt w:val="decimal"/>
      <w:lvlText w:val=""/>
      <w:lvlJc w:val="left"/>
      <w:pPr>
        <w:ind w:left="-279" w:firstLine="0"/>
      </w:pPr>
      <w:rPr>
        <w:rFonts w:hint="default"/>
      </w:rPr>
    </w:lvl>
    <w:lvl w:ilvl="3">
      <w:numFmt w:val="decimal"/>
      <w:lvlText w:val=""/>
      <w:lvlJc w:val="left"/>
      <w:pPr>
        <w:ind w:left="-279" w:firstLine="0"/>
      </w:pPr>
      <w:rPr>
        <w:rFonts w:hint="default"/>
      </w:rPr>
    </w:lvl>
    <w:lvl w:ilvl="4">
      <w:numFmt w:val="decimal"/>
      <w:lvlText w:val=""/>
      <w:lvlJc w:val="left"/>
      <w:pPr>
        <w:ind w:left="-279" w:firstLine="0"/>
      </w:pPr>
      <w:rPr>
        <w:rFonts w:hint="default"/>
      </w:rPr>
    </w:lvl>
    <w:lvl w:ilvl="5">
      <w:numFmt w:val="decimal"/>
      <w:lvlText w:val=""/>
      <w:lvlJc w:val="left"/>
      <w:pPr>
        <w:ind w:left="-279" w:firstLine="0"/>
      </w:pPr>
      <w:rPr>
        <w:rFonts w:hint="default"/>
      </w:rPr>
    </w:lvl>
    <w:lvl w:ilvl="6">
      <w:numFmt w:val="decimal"/>
      <w:lvlText w:val=""/>
      <w:lvlJc w:val="left"/>
      <w:pPr>
        <w:ind w:left="-279" w:firstLine="0"/>
      </w:pPr>
      <w:rPr>
        <w:rFonts w:hint="default"/>
      </w:rPr>
    </w:lvl>
    <w:lvl w:ilvl="7">
      <w:numFmt w:val="decimal"/>
      <w:lvlText w:val=""/>
      <w:lvlJc w:val="left"/>
      <w:pPr>
        <w:ind w:left="-279" w:firstLine="0"/>
      </w:pPr>
      <w:rPr>
        <w:rFonts w:hint="default"/>
      </w:rPr>
    </w:lvl>
    <w:lvl w:ilvl="8">
      <w:numFmt w:val="decimal"/>
      <w:lvlText w:val=""/>
      <w:lvlJc w:val="left"/>
      <w:pPr>
        <w:ind w:left="-279" w:firstLine="0"/>
      </w:pPr>
      <w:rPr>
        <w:rFonts w:hint="default"/>
      </w:rPr>
    </w:lvl>
  </w:abstractNum>
  <w:abstractNum w:abstractNumId="1" w15:restartNumberingAfterBreak="0">
    <w:nsid w:val="041305A2"/>
    <w:multiLevelType w:val="multilevel"/>
    <w:tmpl w:val="F4F066C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64F7C2B"/>
    <w:multiLevelType w:val="multilevel"/>
    <w:tmpl w:val="DBCE03EA"/>
    <w:lvl w:ilvl="0">
      <w:start w:val="3"/>
      <w:numFmt w:val="decimal"/>
      <w:lvlText w:val="%1."/>
      <w:lvlJc w:val="left"/>
      <w:pPr>
        <w:ind w:left="568"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
      <w:numFmt w:val="decimal"/>
      <w:lvlText w:val="3.%2"/>
      <w:lvlJc w:val="left"/>
      <w:pPr>
        <w:ind w:left="852" w:firstLine="0"/>
      </w:pPr>
      <w:rPr>
        <w:rFonts w:hint="default"/>
        <w:b/>
        <w:bCs/>
        <w:i w:val="0"/>
        <w:iCs w:val="0"/>
        <w:smallCaps w:val="0"/>
        <w:strike w:val="0"/>
        <w:color w:val="000000"/>
        <w:spacing w:val="0"/>
        <w:w w:val="100"/>
        <w:position w:val="0"/>
        <w:sz w:val="26"/>
        <w:szCs w:val="26"/>
        <w:u w:val="none"/>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 w15:restartNumberingAfterBreak="0">
    <w:nsid w:val="178E53E5"/>
    <w:multiLevelType w:val="hybridMultilevel"/>
    <w:tmpl w:val="4E58FD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47D81"/>
    <w:multiLevelType w:val="multilevel"/>
    <w:tmpl w:val="30E4032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5177F94"/>
    <w:multiLevelType w:val="hybridMultilevel"/>
    <w:tmpl w:val="A35C84B2"/>
    <w:lvl w:ilvl="0" w:tplc="3DA6781E">
      <w:start w:val="1"/>
      <w:numFmt w:val="decimal"/>
      <w:lvlText w:val="3.%1"/>
      <w:lvlJc w:val="left"/>
      <w:pPr>
        <w:ind w:left="36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6" w15:restartNumberingAfterBreak="0">
    <w:nsid w:val="37C70585"/>
    <w:multiLevelType w:val="multilevel"/>
    <w:tmpl w:val="C9C63BB6"/>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E353958"/>
    <w:multiLevelType w:val="multilevel"/>
    <w:tmpl w:val="25661A5E"/>
    <w:lvl w:ilvl="0">
      <w:start w:val="2012"/>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9270C"/>
    <w:multiLevelType w:val="hybridMultilevel"/>
    <w:tmpl w:val="19F6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A16FC3"/>
    <w:multiLevelType w:val="hybridMultilevel"/>
    <w:tmpl w:val="732E36CA"/>
    <w:lvl w:ilvl="0" w:tplc="54049838">
      <w:start w:val="1"/>
      <w:numFmt w:val="decimal"/>
      <w:lvlText w:val="5.%1"/>
      <w:lvlJc w:val="left"/>
      <w:pPr>
        <w:ind w:left="1065"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81632D"/>
    <w:multiLevelType w:val="multilevel"/>
    <w:tmpl w:val="5C3E190A"/>
    <w:lvl w:ilvl="0">
      <w:start w:val="1"/>
      <w:numFmt w:val="decimal"/>
      <w:lvlText w:val="%1."/>
      <w:lvlJc w:val="left"/>
      <w:pPr>
        <w:ind w:left="0" w:firstLine="0"/>
      </w:pPr>
      <w:rPr>
        <w:rFonts w:hint="default"/>
        <w:b/>
        <w:bCs/>
        <w:i w:val="0"/>
        <w:iCs w:val="0"/>
        <w:smallCaps w:val="0"/>
        <w:strike w:val="0"/>
        <w:color w:val="000000"/>
        <w:spacing w:val="0"/>
        <w:w w:val="100"/>
        <w:position w:val="0"/>
        <w:sz w:val="26"/>
        <w:szCs w:val="26"/>
        <w:u w:val="none"/>
      </w:rPr>
    </w:lvl>
    <w:lvl w:ilvl="1">
      <w:start w:val="4"/>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9CD2DFC"/>
    <w:multiLevelType w:val="hybridMultilevel"/>
    <w:tmpl w:val="805E244C"/>
    <w:lvl w:ilvl="0" w:tplc="CBF634AA">
      <w:start w:val="1"/>
      <w:numFmt w:val="decimal"/>
      <w:lvlText w:val="4.%1"/>
      <w:lvlJc w:val="left"/>
      <w:pPr>
        <w:ind w:left="420"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12" w15:restartNumberingAfterBreak="0">
    <w:nsid w:val="6B42054C"/>
    <w:multiLevelType w:val="multilevel"/>
    <w:tmpl w:val="CA70B42C"/>
    <w:lvl w:ilvl="0">
      <w:start w:val="2011"/>
      <w:numFmt w:val="decimal"/>
      <w:lvlText w:val="07.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9324F2"/>
    <w:multiLevelType w:val="multilevel"/>
    <w:tmpl w:val="35822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861585"/>
    <w:multiLevelType w:val="multilevel"/>
    <w:tmpl w:val="96AE1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102A63"/>
    <w:multiLevelType w:val="multilevel"/>
    <w:tmpl w:val="CB983F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95F35"/>
    <w:multiLevelType w:val="multilevel"/>
    <w:tmpl w:val="5FAA76F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3.%2"/>
      <w:lvlJc w:val="left"/>
      <w:pPr>
        <w:ind w:left="0" w:firstLine="0"/>
      </w:pPr>
      <w:rPr>
        <w:rFonts w:hint="default"/>
        <w:b/>
        <w:bCs/>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15"/>
  </w:num>
  <w:num w:numId="3">
    <w:abstractNumId w:val="12"/>
  </w:num>
  <w:num w:numId="4">
    <w:abstractNumId w:val="7"/>
  </w:num>
  <w:num w:numId="5">
    <w:abstractNumId w:val="14"/>
  </w:num>
  <w:num w:numId="6">
    <w:abstractNumId w:val="4"/>
  </w:num>
  <w:num w:numId="7">
    <w:abstractNumId w:val="10"/>
  </w:num>
  <w:num w:numId="8">
    <w:abstractNumId w:val="1"/>
  </w:num>
  <w:num w:numId="9">
    <w:abstractNumId w:val="6"/>
  </w:num>
  <w:num w:numId="10">
    <w:abstractNumId w:val="16"/>
  </w:num>
  <w:num w:numId="11">
    <w:abstractNumId w:val="5"/>
  </w:num>
  <w:num w:numId="12">
    <w:abstractNumId w:val="2"/>
  </w:num>
  <w:num w:numId="13">
    <w:abstractNumId w:val="11"/>
  </w:num>
  <w:num w:numId="14">
    <w:abstractNumId w:val="9"/>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A2"/>
    <w:rsid w:val="000154B4"/>
    <w:rsid w:val="0004344C"/>
    <w:rsid w:val="0009710C"/>
    <w:rsid w:val="000C0E8D"/>
    <w:rsid w:val="000C466C"/>
    <w:rsid w:val="001038E0"/>
    <w:rsid w:val="0014362B"/>
    <w:rsid w:val="001A62BA"/>
    <w:rsid w:val="001E0052"/>
    <w:rsid w:val="00211FA8"/>
    <w:rsid w:val="00387C66"/>
    <w:rsid w:val="00431204"/>
    <w:rsid w:val="00556B39"/>
    <w:rsid w:val="005E3539"/>
    <w:rsid w:val="00616157"/>
    <w:rsid w:val="006240FD"/>
    <w:rsid w:val="00682D6D"/>
    <w:rsid w:val="006B6956"/>
    <w:rsid w:val="006E1FFC"/>
    <w:rsid w:val="007013C9"/>
    <w:rsid w:val="00711E5A"/>
    <w:rsid w:val="007523A2"/>
    <w:rsid w:val="00785BDA"/>
    <w:rsid w:val="00787223"/>
    <w:rsid w:val="007B6061"/>
    <w:rsid w:val="007C0A83"/>
    <w:rsid w:val="008C247E"/>
    <w:rsid w:val="008D593C"/>
    <w:rsid w:val="00917C9E"/>
    <w:rsid w:val="00984B1C"/>
    <w:rsid w:val="009A40A0"/>
    <w:rsid w:val="00A05BBF"/>
    <w:rsid w:val="00A120F4"/>
    <w:rsid w:val="00AD4B71"/>
    <w:rsid w:val="00AD7BD1"/>
    <w:rsid w:val="00AF6E39"/>
    <w:rsid w:val="00B06A2C"/>
    <w:rsid w:val="00B13C3D"/>
    <w:rsid w:val="00B64A95"/>
    <w:rsid w:val="00BD06B2"/>
    <w:rsid w:val="00BE1CD2"/>
    <w:rsid w:val="00CA45AA"/>
    <w:rsid w:val="00CB7758"/>
    <w:rsid w:val="00CD245E"/>
    <w:rsid w:val="00D25E18"/>
    <w:rsid w:val="00DA0B7F"/>
    <w:rsid w:val="00E005E1"/>
    <w:rsid w:val="00E53ECF"/>
    <w:rsid w:val="00E56919"/>
    <w:rsid w:val="00E732B1"/>
    <w:rsid w:val="00FA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CE30"/>
  <w15:docId w15:val="{E5FCE2CC-2455-4D1F-9B36-337CB4E8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rsid w:val="008C247E"/>
    <w:pPr>
      <w:keepNext/>
      <w:keepLines/>
      <w:jc w:val="center"/>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paragraph" w:customStyle="1" w:styleId="20">
    <w:name w:val="Основной текст (2)"/>
    <w:basedOn w:val="a"/>
    <w:link w:val="2"/>
    <w:pPr>
      <w:shd w:val="clear" w:color="auto" w:fill="FFFFFF"/>
      <w:spacing w:after="2520" w:line="326"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040" w:after="4140" w:line="322" w:lineRule="exact"/>
      <w:jc w:val="center"/>
    </w:pPr>
    <w:rPr>
      <w:rFonts w:ascii="Times New Roman" w:eastAsia="Times New Roman" w:hAnsi="Times New Roman" w:cs="Times New Roman"/>
      <w:i/>
      <w:iCs/>
      <w:sz w:val="26"/>
      <w:szCs w:val="26"/>
    </w:rPr>
  </w:style>
  <w:style w:type="paragraph" w:customStyle="1" w:styleId="31">
    <w:name w:val="Основной текст3"/>
    <w:basedOn w:val="a"/>
    <w:link w:val="a4"/>
    <w:pPr>
      <w:shd w:val="clear" w:color="auto" w:fill="FFFFFF"/>
      <w:spacing w:before="4140" w:line="317" w:lineRule="exact"/>
      <w:jc w:val="center"/>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styleId="12">
    <w:name w:val="toc 1"/>
    <w:basedOn w:val="a"/>
    <w:link w:val="11"/>
    <w:autoRedefine/>
    <w:uiPriority w:val="39"/>
    <w:pPr>
      <w:shd w:val="clear" w:color="auto" w:fill="FFFFFF"/>
      <w:spacing w:before="720" w:line="677" w:lineRule="exact"/>
      <w:jc w:val="both"/>
    </w:pPr>
    <w:rPr>
      <w:rFonts w:ascii="Times New Roman" w:eastAsia="Times New Roman" w:hAnsi="Times New Roman" w:cs="Times New Roman"/>
      <w:sz w:val="26"/>
      <w:szCs w:val="26"/>
    </w:rPr>
  </w:style>
  <w:style w:type="paragraph" w:customStyle="1" w:styleId="14">
    <w:name w:val="Заголовок №1"/>
    <w:basedOn w:val="a"/>
    <w:link w:val="13"/>
    <w:pPr>
      <w:shd w:val="clear" w:color="auto" w:fill="FFFFFF"/>
      <w:spacing w:after="180" w:line="0" w:lineRule="atLeast"/>
      <w:jc w:val="both"/>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540" w:line="274" w:lineRule="exact"/>
    </w:pPr>
    <w:rPr>
      <w:rFonts w:ascii="Times New Roman" w:eastAsia="Times New Roman" w:hAnsi="Times New Roman" w:cs="Times New Roman"/>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8"/>
      <w:szCs w:val="18"/>
    </w:rPr>
  </w:style>
  <w:style w:type="paragraph" w:styleId="ad">
    <w:name w:val="Balloon Text"/>
    <w:basedOn w:val="a"/>
    <w:link w:val="ae"/>
    <w:uiPriority w:val="99"/>
    <w:semiHidden/>
    <w:unhideWhenUsed/>
    <w:rsid w:val="006240FD"/>
    <w:rPr>
      <w:rFonts w:ascii="Segoe UI" w:hAnsi="Segoe UI" w:cs="Segoe UI"/>
      <w:sz w:val="18"/>
      <w:szCs w:val="18"/>
    </w:rPr>
  </w:style>
  <w:style w:type="character" w:customStyle="1" w:styleId="ae">
    <w:name w:val="Текст выноски Знак"/>
    <w:basedOn w:val="a0"/>
    <w:link w:val="ad"/>
    <w:uiPriority w:val="99"/>
    <w:semiHidden/>
    <w:rsid w:val="006240FD"/>
    <w:rPr>
      <w:rFonts w:ascii="Segoe UI" w:hAnsi="Segoe UI" w:cs="Segoe UI"/>
      <w:color w:val="000000"/>
      <w:sz w:val="18"/>
      <w:szCs w:val="18"/>
    </w:rPr>
  </w:style>
  <w:style w:type="character" w:customStyle="1" w:styleId="10">
    <w:name w:val="Заголовок 1 Знак"/>
    <w:basedOn w:val="a0"/>
    <w:link w:val="1"/>
    <w:uiPriority w:val="9"/>
    <w:rsid w:val="008C247E"/>
    <w:rPr>
      <w:rFonts w:ascii="Times New Roman" w:eastAsiaTheme="majorEastAsia" w:hAnsi="Times New Roman" w:cstheme="majorBidi"/>
      <w:b/>
      <w:sz w:val="28"/>
      <w:szCs w:val="32"/>
    </w:rPr>
  </w:style>
  <w:style w:type="paragraph" w:styleId="af">
    <w:name w:val="No Spacing"/>
    <w:uiPriority w:val="1"/>
    <w:qFormat/>
    <w:rsid w:val="00616157"/>
    <w:rPr>
      <w:color w:val="000000"/>
    </w:rPr>
  </w:style>
  <w:style w:type="paragraph" w:styleId="af0">
    <w:name w:val="List Paragraph"/>
    <w:basedOn w:val="a"/>
    <w:uiPriority w:val="34"/>
    <w:qFormat/>
    <w:rsid w:val="00616157"/>
    <w:pPr>
      <w:ind w:left="720"/>
      <w:contextualSpacing/>
    </w:pPr>
  </w:style>
  <w:style w:type="paragraph" w:styleId="af1">
    <w:name w:val="TOC Heading"/>
    <w:basedOn w:val="1"/>
    <w:next w:val="a"/>
    <w:uiPriority w:val="39"/>
    <w:unhideWhenUsed/>
    <w:qFormat/>
    <w:rsid w:val="0009710C"/>
    <w:pPr>
      <w:widowControl/>
      <w:spacing w:before="240" w:line="259" w:lineRule="auto"/>
      <w:jc w:val="left"/>
      <w:outlineLvl w:val="9"/>
    </w:pPr>
    <w:rPr>
      <w:rFonts w:asciiTheme="majorHAnsi" w:hAnsiTheme="majorHAnsi"/>
      <w:b w:val="0"/>
      <w:color w:val="2E74B5" w:themeColor="accent1" w:themeShade="BF"/>
      <w:sz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18166">
      <w:bodyDiv w:val="1"/>
      <w:marLeft w:val="0"/>
      <w:marRight w:val="0"/>
      <w:marTop w:val="0"/>
      <w:marBottom w:val="0"/>
      <w:divBdr>
        <w:top w:val="none" w:sz="0" w:space="0" w:color="auto"/>
        <w:left w:val="none" w:sz="0" w:space="0" w:color="auto"/>
        <w:bottom w:val="none" w:sz="0" w:space="0" w:color="auto"/>
        <w:right w:val="none" w:sz="0" w:space="0" w:color="auto"/>
      </w:divBdr>
      <w:divsChild>
        <w:div w:id="683634685">
          <w:marLeft w:val="0"/>
          <w:marRight w:val="0"/>
          <w:marTop w:val="0"/>
          <w:marBottom w:val="0"/>
          <w:divBdr>
            <w:top w:val="none" w:sz="0" w:space="0" w:color="auto"/>
            <w:left w:val="none" w:sz="0" w:space="0" w:color="auto"/>
            <w:bottom w:val="none" w:sz="0" w:space="0" w:color="auto"/>
            <w:right w:val="none" w:sz="0" w:space="0" w:color="auto"/>
          </w:divBdr>
        </w:div>
        <w:div w:id="1421219619">
          <w:marLeft w:val="0"/>
          <w:marRight w:val="0"/>
          <w:marTop w:val="0"/>
          <w:marBottom w:val="0"/>
          <w:divBdr>
            <w:top w:val="none" w:sz="0" w:space="0" w:color="auto"/>
            <w:left w:val="none" w:sz="0" w:space="0" w:color="auto"/>
            <w:bottom w:val="none" w:sz="0" w:space="0" w:color="auto"/>
            <w:right w:val="none" w:sz="0" w:space="0" w:color="auto"/>
          </w:divBdr>
        </w:div>
        <w:div w:id="816457216">
          <w:marLeft w:val="0"/>
          <w:marRight w:val="0"/>
          <w:marTop w:val="0"/>
          <w:marBottom w:val="0"/>
          <w:divBdr>
            <w:top w:val="none" w:sz="0" w:space="0" w:color="auto"/>
            <w:left w:val="none" w:sz="0" w:space="0" w:color="auto"/>
            <w:bottom w:val="none" w:sz="0" w:space="0" w:color="auto"/>
            <w:right w:val="none" w:sz="0" w:space="0" w:color="auto"/>
          </w:divBdr>
        </w:div>
        <w:div w:id="1787892158">
          <w:marLeft w:val="0"/>
          <w:marRight w:val="0"/>
          <w:marTop w:val="0"/>
          <w:marBottom w:val="0"/>
          <w:divBdr>
            <w:top w:val="none" w:sz="0" w:space="0" w:color="auto"/>
            <w:left w:val="none" w:sz="0" w:space="0" w:color="auto"/>
            <w:bottom w:val="none" w:sz="0" w:space="0" w:color="auto"/>
            <w:right w:val="none" w:sz="0" w:space="0" w:color="auto"/>
          </w:divBdr>
        </w:div>
        <w:div w:id="893201618">
          <w:marLeft w:val="0"/>
          <w:marRight w:val="0"/>
          <w:marTop w:val="0"/>
          <w:marBottom w:val="0"/>
          <w:divBdr>
            <w:top w:val="none" w:sz="0" w:space="0" w:color="auto"/>
            <w:left w:val="none" w:sz="0" w:space="0" w:color="auto"/>
            <w:bottom w:val="none" w:sz="0" w:space="0" w:color="auto"/>
            <w:right w:val="none" w:sz="0" w:space="0" w:color="auto"/>
          </w:divBdr>
        </w:div>
        <w:div w:id="2080865059">
          <w:marLeft w:val="0"/>
          <w:marRight w:val="0"/>
          <w:marTop w:val="0"/>
          <w:marBottom w:val="0"/>
          <w:divBdr>
            <w:top w:val="none" w:sz="0" w:space="0" w:color="auto"/>
            <w:left w:val="none" w:sz="0" w:space="0" w:color="auto"/>
            <w:bottom w:val="none" w:sz="0" w:space="0" w:color="auto"/>
            <w:right w:val="none" w:sz="0" w:space="0" w:color="auto"/>
          </w:divBdr>
        </w:div>
        <w:div w:id="526647397">
          <w:marLeft w:val="0"/>
          <w:marRight w:val="0"/>
          <w:marTop w:val="0"/>
          <w:marBottom w:val="0"/>
          <w:divBdr>
            <w:top w:val="none" w:sz="0" w:space="0" w:color="auto"/>
            <w:left w:val="none" w:sz="0" w:space="0" w:color="auto"/>
            <w:bottom w:val="none" w:sz="0" w:space="0" w:color="auto"/>
            <w:right w:val="none" w:sz="0" w:space="0" w:color="auto"/>
          </w:divBdr>
        </w:div>
        <w:div w:id="674117033">
          <w:marLeft w:val="0"/>
          <w:marRight w:val="0"/>
          <w:marTop w:val="0"/>
          <w:marBottom w:val="0"/>
          <w:divBdr>
            <w:top w:val="none" w:sz="0" w:space="0" w:color="auto"/>
            <w:left w:val="none" w:sz="0" w:space="0" w:color="auto"/>
            <w:bottom w:val="none" w:sz="0" w:space="0" w:color="auto"/>
            <w:right w:val="none" w:sz="0" w:space="0" w:color="auto"/>
          </w:divBdr>
        </w:div>
      </w:divsChild>
    </w:div>
    <w:div w:id="867910967">
      <w:bodyDiv w:val="1"/>
      <w:marLeft w:val="0"/>
      <w:marRight w:val="0"/>
      <w:marTop w:val="0"/>
      <w:marBottom w:val="0"/>
      <w:divBdr>
        <w:top w:val="none" w:sz="0" w:space="0" w:color="auto"/>
        <w:left w:val="none" w:sz="0" w:space="0" w:color="auto"/>
        <w:bottom w:val="none" w:sz="0" w:space="0" w:color="auto"/>
        <w:right w:val="none" w:sz="0" w:space="0" w:color="auto"/>
      </w:divBdr>
      <w:divsChild>
        <w:div w:id="1652326089">
          <w:marLeft w:val="0"/>
          <w:marRight w:val="0"/>
          <w:marTop w:val="0"/>
          <w:marBottom w:val="0"/>
          <w:divBdr>
            <w:top w:val="none" w:sz="0" w:space="0" w:color="auto"/>
            <w:left w:val="none" w:sz="0" w:space="0" w:color="auto"/>
            <w:bottom w:val="none" w:sz="0" w:space="0" w:color="auto"/>
            <w:right w:val="none" w:sz="0" w:space="0" w:color="auto"/>
          </w:divBdr>
        </w:div>
        <w:div w:id="610207877">
          <w:marLeft w:val="0"/>
          <w:marRight w:val="0"/>
          <w:marTop w:val="0"/>
          <w:marBottom w:val="0"/>
          <w:divBdr>
            <w:top w:val="none" w:sz="0" w:space="0" w:color="auto"/>
            <w:left w:val="none" w:sz="0" w:space="0" w:color="auto"/>
            <w:bottom w:val="none" w:sz="0" w:space="0" w:color="auto"/>
            <w:right w:val="none" w:sz="0" w:space="0" w:color="auto"/>
          </w:divBdr>
        </w:div>
        <w:div w:id="1426464517">
          <w:marLeft w:val="0"/>
          <w:marRight w:val="0"/>
          <w:marTop w:val="0"/>
          <w:marBottom w:val="0"/>
          <w:divBdr>
            <w:top w:val="none" w:sz="0" w:space="0" w:color="auto"/>
            <w:left w:val="none" w:sz="0" w:space="0" w:color="auto"/>
            <w:bottom w:val="none" w:sz="0" w:space="0" w:color="auto"/>
            <w:right w:val="none" w:sz="0" w:space="0" w:color="auto"/>
          </w:divBdr>
        </w:div>
        <w:div w:id="388454114">
          <w:marLeft w:val="0"/>
          <w:marRight w:val="0"/>
          <w:marTop w:val="0"/>
          <w:marBottom w:val="0"/>
          <w:divBdr>
            <w:top w:val="none" w:sz="0" w:space="0" w:color="auto"/>
            <w:left w:val="none" w:sz="0" w:space="0" w:color="auto"/>
            <w:bottom w:val="none" w:sz="0" w:space="0" w:color="auto"/>
            <w:right w:val="none" w:sz="0" w:space="0" w:color="auto"/>
          </w:divBdr>
        </w:div>
        <w:div w:id="979310590">
          <w:marLeft w:val="0"/>
          <w:marRight w:val="0"/>
          <w:marTop w:val="0"/>
          <w:marBottom w:val="0"/>
          <w:divBdr>
            <w:top w:val="none" w:sz="0" w:space="0" w:color="auto"/>
            <w:left w:val="none" w:sz="0" w:space="0" w:color="auto"/>
            <w:bottom w:val="none" w:sz="0" w:space="0" w:color="auto"/>
            <w:right w:val="none" w:sz="0" w:space="0" w:color="auto"/>
          </w:divBdr>
        </w:div>
        <w:div w:id="60294396">
          <w:marLeft w:val="0"/>
          <w:marRight w:val="0"/>
          <w:marTop w:val="0"/>
          <w:marBottom w:val="0"/>
          <w:divBdr>
            <w:top w:val="none" w:sz="0" w:space="0" w:color="auto"/>
            <w:left w:val="none" w:sz="0" w:space="0" w:color="auto"/>
            <w:bottom w:val="none" w:sz="0" w:space="0" w:color="auto"/>
            <w:right w:val="none" w:sz="0" w:space="0" w:color="auto"/>
          </w:divBdr>
        </w:div>
        <w:div w:id="1341660518">
          <w:marLeft w:val="0"/>
          <w:marRight w:val="0"/>
          <w:marTop w:val="0"/>
          <w:marBottom w:val="0"/>
          <w:divBdr>
            <w:top w:val="none" w:sz="0" w:space="0" w:color="auto"/>
            <w:left w:val="none" w:sz="0" w:space="0" w:color="auto"/>
            <w:bottom w:val="none" w:sz="0" w:space="0" w:color="auto"/>
            <w:right w:val="none" w:sz="0" w:space="0" w:color="auto"/>
          </w:divBdr>
        </w:div>
        <w:div w:id="1609434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562F-082C-4CBB-A0CD-D4A42455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Ревизор</dc:creator>
  <cp:keywords/>
  <cp:lastModifiedBy>Professional</cp:lastModifiedBy>
  <cp:revision>23</cp:revision>
  <cp:lastPrinted>2022-02-10T09:59:00Z</cp:lastPrinted>
  <dcterms:created xsi:type="dcterms:W3CDTF">2017-05-15T08:15:00Z</dcterms:created>
  <dcterms:modified xsi:type="dcterms:W3CDTF">2024-01-15T07:13:00Z</dcterms:modified>
</cp:coreProperties>
</file>